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5742"/>
        <w:gridCol w:w="3653"/>
      </w:tblGrid>
      <w:tr w:rsidR="005E0208" w:rsidRPr="007C3A20">
        <w:trPr>
          <w:trHeight w:val="1702"/>
        </w:trPr>
        <w:tc>
          <w:tcPr>
            <w:tcW w:w="5846" w:type="dxa"/>
            <w:vAlign w:val="center"/>
          </w:tcPr>
          <w:p w:rsidR="005E0208" w:rsidRPr="007C3A20" w:rsidRDefault="005E0208" w:rsidP="00F558AD">
            <w:pPr>
              <w:rPr>
                <w:rFonts w:ascii="Verdana" w:hAnsi="Verdana" w:cs="Verdana"/>
                <w:lang w:val="en-GB" w:eastAsia="en-US"/>
              </w:rPr>
            </w:pPr>
            <w:r w:rsidRPr="00E04CB9">
              <w:rPr>
                <w:rFonts w:ascii="Verdana" w:hAnsi="Verdana" w:cs="Verdana"/>
                <w:b/>
                <w:bCs/>
                <w:noProof/>
                <w:color w:val="000000"/>
                <w:sz w:val="15"/>
                <w:szCs w:val="15"/>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P_Claimlogo_3mini" style="width:180pt;height:33pt;visibility:visible">
                  <v:imagedata r:id="rId7" o:title=""/>
                </v:shape>
              </w:pict>
            </w:r>
          </w:p>
        </w:tc>
        <w:tc>
          <w:tcPr>
            <w:tcW w:w="3837" w:type="dxa"/>
            <w:vAlign w:val="center"/>
          </w:tcPr>
          <w:p w:rsidR="005E0208" w:rsidRPr="007C3A20" w:rsidRDefault="005E0208" w:rsidP="00F558AD">
            <w:pPr>
              <w:jc w:val="right"/>
              <w:rPr>
                <w:rFonts w:ascii="Verdana" w:hAnsi="Verdana" w:cs="Verdana"/>
                <w:lang w:val="en-GB" w:eastAsia="en-US"/>
              </w:rPr>
            </w:pPr>
            <w:r>
              <w:rPr>
                <w:noProof/>
                <w:lang w:val="nl-BE" w:eastAsia="nl-BE"/>
              </w:rPr>
              <w:pict>
                <v:shape id="Bild 4" o:spid="_x0000_s1026" type="#_x0000_t75" alt="馚ゴ" style="position:absolute;left:0;text-align:left;margin-left:34.05pt;margin-top:-4.4pt;width:133.5pt;height:80.25pt;z-index:-251658240;visibility:visible;mso-position-horizontal-relative:text;mso-position-vertical-relative:text">
                  <v:imagedata r:id="rId8" o:title=""/>
                </v:shape>
              </w:pict>
            </w:r>
          </w:p>
        </w:tc>
      </w:tr>
    </w:tbl>
    <w:p w:rsidR="005E0208" w:rsidRPr="00B73CCC" w:rsidRDefault="005E0208" w:rsidP="00B73CCC">
      <w:pPr>
        <w:tabs>
          <w:tab w:val="left" w:pos="1134"/>
        </w:tabs>
        <w:ind w:left="360" w:right="708"/>
        <w:rPr>
          <w:rFonts w:ascii="Arial" w:hAnsi="Arial" w:cs="Arial"/>
          <w:color w:val="000000"/>
          <w:sz w:val="28"/>
          <w:szCs w:val="28"/>
          <w:lang w:val="en-GB"/>
        </w:rPr>
      </w:pPr>
    </w:p>
    <w:p w:rsidR="005E0208" w:rsidRPr="00B73CCC" w:rsidRDefault="005E0208" w:rsidP="00B73CCC">
      <w:pPr>
        <w:jc w:val="center"/>
        <w:rPr>
          <w:rFonts w:ascii="Arial" w:hAnsi="Arial" w:cs="Arial"/>
          <w:b/>
          <w:bCs/>
          <w:lang w:val="en-GB"/>
        </w:rPr>
      </w:pPr>
      <w:r w:rsidRPr="00B73CCC">
        <w:rPr>
          <w:rFonts w:ascii="Arial" w:hAnsi="Arial" w:cs="Arial"/>
          <w:b/>
          <w:bCs/>
          <w:lang w:val="en-GB"/>
        </w:rPr>
        <w:t>1</w:t>
      </w:r>
      <w:r w:rsidRPr="00B73CCC">
        <w:rPr>
          <w:rFonts w:ascii="Arial" w:hAnsi="Arial" w:cs="Arial"/>
          <w:b/>
          <w:bCs/>
          <w:vertAlign w:val="superscript"/>
          <w:lang w:val="en-GB"/>
        </w:rPr>
        <w:t>st</w:t>
      </w:r>
      <w:r w:rsidRPr="00B73CCC">
        <w:rPr>
          <w:rFonts w:ascii="Arial" w:hAnsi="Arial" w:cs="Arial"/>
          <w:b/>
          <w:bCs/>
          <w:lang w:val="en-GB"/>
        </w:rPr>
        <w:t xml:space="preserve"> Meeting of the 2009-2012 BFUG Working Group </w:t>
      </w:r>
    </w:p>
    <w:p w:rsidR="005E0208" w:rsidRPr="00B73CCC" w:rsidRDefault="005E0208" w:rsidP="00B73CCC">
      <w:pPr>
        <w:jc w:val="center"/>
        <w:rPr>
          <w:rFonts w:ascii="Arial" w:hAnsi="Arial" w:cs="Arial"/>
          <w:b/>
          <w:bCs/>
          <w:lang w:val="en-GB"/>
        </w:rPr>
      </w:pPr>
      <w:r w:rsidRPr="00B73CCC">
        <w:rPr>
          <w:rFonts w:ascii="Arial" w:hAnsi="Arial" w:cs="Arial"/>
          <w:b/>
          <w:bCs/>
          <w:lang w:val="en-GB"/>
        </w:rPr>
        <w:t>“Mobility”</w:t>
      </w:r>
    </w:p>
    <w:p w:rsidR="005E0208" w:rsidRPr="00F43966" w:rsidRDefault="005E0208" w:rsidP="00F43966">
      <w:pPr>
        <w:jc w:val="center"/>
        <w:rPr>
          <w:rFonts w:ascii="Arial" w:hAnsi="Arial" w:cs="Arial"/>
          <w:b/>
          <w:bCs/>
          <w:lang w:val="en-US"/>
        </w:rPr>
      </w:pPr>
      <w:smartTag w:uri="urn:schemas-microsoft-com:office:smarttags" w:element="place">
        <w:smartTag w:uri="urn:schemas-microsoft-com:office:smarttags" w:element="State">
          <w:r w:rsidRPr="00B73CCC">
            <w:rPr>
              <w:rFonts w:ascii="Arial" w:hAnsi="Arial" w:cs="Arial"/>
              <w:b/>
              <w:bCs/>
              <w:lang w:val="en-US"/>
            </w:rPr>
            <w:t>Berlin</w:t>
          </w:r>
        </w:smartTag>
      </w:smartTag>
      <w:r w:rsidRPr="00B73CCC">
        <w:rPr>
          <w:rFonts w:ascii="Arial" w:hAnsi="Arial" w:cs="Arial"/>
          <w:b/>
          <w:bCs/>
          <w:lang w:val="en-US"/>
        </w:rPr>
        <w:t xml:space="preserve"> on Wednesday, 13 January, 2010</w:t>
      </w:r>
    </w:p>
    <w:p w:rsidR="005E0208" w:rsidRPr="00B73CCC" w:rsidRDefault="005E0208" w:rsidP="00B73CCC">
      <w:pPr>
        <w:jc w:val="center"/>
        <w:rPr>
          <w:rFonts w:ascii="Arial" w:hAnsi="Arial" w:cs="Arial"/>
          <w:b/>
          <w:bCs/>
          <w:u w:val="single"/>
          <w:lang w:val="en-GB"/>
        </w:rPr>
      </w:pPr>
      <w:r w:rsidRPr="00B73CCC">
        <w:rPr>
          <w:rFonts w:ascii="Arial" w:hAnsi="Arial" w:cs="Arial"/>
          <w:b/>
          <w:bCs/>
          <w:u w:val="single"/>
          <w:lang w:val="en-GB"/>
        </w:rPr>
        <w:t>Draft minutes</w:t>
      </w:r>
    </w:p>
    <w:p w:rsidR="005E0208" w:rsidRPr="00B73CCC" w:rsidRDefault="005E0208" w:rsidP="00B73CCC">
      <w:pPr>
        <w:rPr>
          <w:rFonts w:ascii="Arial" w:hAnsi="Arial" w:cs="Arial"/>
          <w:b/>
          <w:bCs/>
          <w:sz w:val="20"/>
          <w:szCs w:val="20"/>
          <w:lang w:val="en-GB"/>
        </w:rPr>
      </w:pPr>
    </w:p>
    <w:p w:rsidR="005E0208" w:rsidRPr="00095CDB" w:rsidRDefault="005E0208" w:rsidP="00B73CCC">
      <w:pPr>
        <w:rPr>
          <w:rFonts w:ascii="Arial" w:hAnsi="Arial" w:cs="Arial"/>
          <w:b/>
          <w:bCs/>
          <w:sz w:val="20"/>
          <w:szCs w:val="20"/>
          <w:lang w:val="en-GB"/>
        </w:rPr>
      </w:pPr>
      <w:r w:rsidRPr="00B73CCC">
        <w:rPr>
          <w:rFonts w:ascii="Arial" w:hAnsi="Arial" w:cs="Arial"/>
          <w:b/>
          <w:bCs/>
          <w:sz w:val="20"/>
          <w:szCs w:val="20"/>
          <w:lang w:val="en-GB"/>
        </w:rPr>
        <w:t>Partici</w:t>
      </w:r>
      <w:r w:rsidRPr="00095CDB">
        <w:rPr>
          <w:rFonts w:ascii="Arial" w:hAnsi="Arial" w:cs="Arial"/>
          <w:b/>
          <w:bCs/>
          <w:sz w:val="20"/>
          <w:szCs w:val="20"/>
          <w:lang w:val="en-GB"/>
        </w:rPr>
        <w:t xml:space="preserve">pants </w:t>
      </w:r>
    </w:p>
    <w:tbl>
      <w:tblPr>
        <w:tblW w:w="9406" w:type="dxa"/>
        <w:tblInd w:w="-68" w:type="dxa"/>
        <w:tblCellMar>
          <w:left w:w="70" w:type="dxa"/>
          <w:right w:w="70" w:type="dxa"/>
        </w:tblCellMar>
        <w:tblLook w:val="0000"/>
      </w:tblPr>
      <w:tblGrid>
        <w:gridCol w:w="3969"/>
        <w:gridCol w:w="5437"/>
      </w:tblGrid>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b/>
                <w:bCs/>
                <w:kern w:val="0"/>
                <w:sz w:val="20"/>
                <w:szCs w:val="20"/>
                <w:lang w:val="nl-NL"/>
              </w:rPr>
            </w:pPr>
            <w:r>
              <w:rPr>
                <w:rFonts w:ascii="Arial" w:hAnsi="Arial" w:cs="Arial"/>
                <w:b/>
                <w:bCs/>
                <w:kern w:val="0"/>
                <w:sz w:val="20"/>
                <w:szCs w:val="20"/>
                <w:lang w:val="nl-NL"/>
              </w:rPr>
              <w:t>Chair: Germany</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Verdana" w:hAnsi="Verdana" w:cs="Verdana"/>
                <w:b/>
                <w:bCs/>
                <w:kern w:val="0"/>
                <w:sz w:val="20"/>
                <w:szCs w:val="20"/>
                <w:lang w:val="nl-NL"/>
              </w:rPr>
            </w:pPr>
            <w:r>
              <w:rPr>
                <w:rFonts w:ascii="Verdana" w:hAnsi="Verdana" w:cs="Verdana"/>
                <w:b/>
                <w:bCs/>
                <w:kern w:val="0"/>
                <w:sz w:val="20"/>
                <w:szCs w:val="20"/>
                <w:lang w:val="nl-NL"/>
              </w:rPr>
              <w:t>Peter GREISLER</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Bologna Secretariat</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Magalie Soenen</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Belgium/French Community</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Kevin Guillaume</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Croatia</w:t>
            </w:r>
          </w:p>
        </w:tc>
        <w:tc>
          <w:tcPr>
            <w:tcW w:w="5437" w:type="dxa"/>
            <w:tcBorders>
              <w:top w:val="nil"/>
              <w:left w:val="nil"/>
              <w:bottom w:val="nil"/>
              <w:right w:val="nil"/>
            </w:tcBorders>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Ksenija Rukavina</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Cyprus</w:t>
            </w:r>
          </w:p>
        </w:tc>
        <w:tc>
          <w:tcPr>
            <w:tcW w:w="5437" w:type="dxa"/>
            <w:tcBorders>
              <w:top w:val="nil"/>
              <w:left w:val="nil"/>
              <w:bottom w:val="nil"/>
              <w:right w:val="nil"/>
            </w:tcBorders>
            <w:noWrap/>
            <w:vAlign w:val="bottom"/>
          </w:tcPr>
          <w:p w:rsidR="005E0208" w:rsidRPr="00095CDB" w:rsidRDefault="005E0208" w:rsidP="00AB0480">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Marius Kassinopoulos</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Finland</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Maija Innola</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France</w:t>
            </w:r>
          </w:p>
        </w:tc>
        <w:tc>
          <w:tcPr>
            <w:tcW w:w="5437" w:type="dxa"/>
            <w:tcBorders>
              <w:top w:val="nil"/>
              <w:left w:val="nil"/>
              <w:bottom w:val="nil"/>
              <w:right w:val="nil"/>
            </w:tcBorders>
            <w:noWrap/>
            <w:vAlign w:val="bottom"/>
          </w:tcPr>
          <w:p w:rsidR="005E0208" w:rsidRPr="00C36326" w:rsidRDefault="005E0208" w:rsidP="00AB0480">
            <w:pPr>
              <w:widowControl/>
              <w:overflowPunct/>
              <w:adjustRightInd/>
              <w:spacing w:after="0" w:line="240" w:lineRule="auto"/>
              <w:rPr>
                <w:rFonts w:ascii="Arial" w:hAnsi="Arial" w:cs="Arial"/>
                <w:kern w:val="0"/>
                <w:sz w:val="20"/>
                <w:szCs w:val="20"/>
                <w:lang w:val="en-GB"/>
              </w:rPr>
            </w:pPr>
            <w:r>
              <w:rPr>
                <w:rFonts w:ascii="Arial" w:hAnsi="Arial" w:cs="Arial"/>
                <w:kern w:val="0"/>
                <w:sz w:val="20"/>
                <w:szCs w:val="20"/>
                <w:lang w:val="nl-NL"/>
              </w:rPr>
              <w:t>Helene Lagier</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Hungary</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Katalin Kurucz</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Ireland</w:t>
            </w:r>
          </w:p>
        </w:tc>
        <w:tc>
          <w:tcPr>
            <w:tcW w:w="5437" w:type="dxa"/>
            <w:tcBorders>
              <w:top w:val="nil"/>
              <w:left w:val="nil"/>
              <w:bottom w:val="nil"/>
              <w:right w:val="nil"/>
            </w:tcBorders>
            <w:noWrap/>
            <w:vAlign w:val="bottom"/>
          </w:tcPr>
          <w:p w:rsidR="005E0208" w:rsidRPr="00095CDB" w:rsidRDefault="005E0208" w:rsidP="00AB0480">
            <w:pPr>
              <w:widowControl/>
              <w:overflowPunct/>
              <w:adjustRightInd/>
              <w:spacing w:after="0" w:line="240" w:lineRule="auto"/>
              <w:rPr>
                <w:rFonts w:ascii="Arial" w:hAnsi="Arial" w:cs="Arial"/>
                <w:kern w:val="0"/>
                <w:sz w:val="20"/>
                <w:szCs w:val="20"/>
                <w:lang w:val="en-GB"/>
              </w:rPr>
            </w:pPr>
            <w:r>
              <w:rPr>
                <w:rFonts w:ascii="Arial" w:hAnsi="Arial" w:cs="Arial"/>
                <w:kern w:val="0"/>
                <w:sz w:val="20"/>
                <w:szCs w:val="20"/>
                <w:lang w:val="en-GB"/>
              </w:rPr>
              <w:t>Gerry O'Sullivan</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Italy</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Giovanna Filippini</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the Netherlands</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 xml:space="preserve">Lennart Nooij </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Spain</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Rafael Bonete Perales</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UK</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Peter Baldwinson</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EI</w:t>
            </w:r>
          </w:p>
        </w:tc>
        <w:tc>
          <w:tcPr>
            <w:tcW w:w="5437" w:type="dxa"/>
            <w:tcBorders>
              <w:top w:val="nil"/>
              <w:left w:val="nil"/>
              <w:bottom w:val="nil"/>
              <w:right w:val="nil"/>
            </w:tcBorders>
            <w:noWrap/>
            <w:vAlign w:val="bottom"/>
          </w:tcPr>
          <w:p w:rsidR="005E0208" w:rsidRPr="00095CDB" w:rsidRDefault="005E0208" w:rsidP="00AB0480">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Karin AMOSSA</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ESU</w:t>
            </w:r>
          </w:p>
        </w:tc>
        <w:tc>
          <w:tcPr>
            <w:tcW w:w="5437" w:type="dxa"/>
            <w:tcBorders>
              <w:top w:val="nil"/>
              <w:left w:val="nil"/>
              <w:bottom w:val="nil"/>
              <w:right w:val="nil"/>
            </w:tcBorders>
            <w:noWrap/>
            <w:vAlign w:val="bottom"/>
          </w:tcPr>
          <w:p w:rsidR="005E0208" w:rsidRPr="00095CDB" w:rsidRDefault="005E0208" w:rsidP="00AB0480">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Ligia Deca</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EUA</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Michael Horig</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Eurostat</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Fernando Reis</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EC</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Richard Deiss</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Eurostudent</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Dominic Orr</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DAAD</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Siegbert Wuttig</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BMBF</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Andrea Herdegen</w:t>
            </w:r>
          </w:p>
        </w:tc>
      </w:tr>
      <w:tr w:rsidR="005E0208" w:rsidRPr="00095CDB">
        <w:trPr>
          <w:trHeight w:val="255"/>
        </w:trPr>
        <w:tc>
          <w:tcPr>
            <w:tcW w:w="3969"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en-GB"/>
              </w:rPr>
            </w:pPr>
            <w:r>
              <w:rPr>
                <w:rFonts w:ascii="Arial" w:hAnsi="Arial" w:cs="Arial"/>
                <w:kern w:val="0"/>
                <w:sz w:val="20"/>
                <w:szCs w:val="20"/>
                <w:lang w:val="en-GB"/>
              </w:rPr>
              <w:t>German representative Council of Europe</w:t>
            </w:r>
          </w:p>
        </w:tc>
        <w:tc>
          <w:tcPr>
            <w:tcW w:w="5437" w:type="dxa"/>
            <w:tcBorders>
              <w:top w:val="nil"/>
              <w:left w:val="nil"/>
              <w:bottom w:val="nil"/>
              <w:right w:val="nil"/>
            </w:tcBorders>
            <w:noWrap/>
            <w:vAlign w:val="bottom"/>
          </w:tcPr>
          <w:p w:rsidR="005E0208" w:rsidRPr="00095CDB" w:rsidRDefault="005E0208" w:rsidP="00B73CCC">
            <w:pPr>
              <w:widowControl/>
              <w:overflowPunct/>
              <w:adjustRightInd/>
              <w:spacing w:after="0" w:line="240" w:lineRule="auto"/>
              <w:rPr>
                <w:rFonts w:ascii="Arial" w:hAnsi="Arial" w:cs="Arial"/>
                <w:kern w:val="0"/>
                <w:sz w:val="20"/>
                <w:szCs w:val="20"/>
                <w:lang w:val="nl-NL"/>
              </w:rPr>
            </w:pPr>
            <w:r>
              <w:rPr>
                <w:rFonts w:ascii="Arial" w:hAnsi="Arial" w:cs="Arial"/>
                <w:kern w:val="0"/>
                <w:sz w:val="20"/>
                <w:szCs w:val="20"/>
                <w:lang w:val="nl-NL"/>
              </w:rPr>
              <w:t>Frank Petrikowski</w:t>
            </w:r>
          </w:p>
        </w:tc>
      </w:tr>
    </w:tbl>
    <w:p w:rsidR="005E0208" w:rsidRPr="00095CDB" w:rsidRDefault="005E0208">
      <w:pPr>
        <w:rPr>
          <w:rFonts w:ascii="Arial" w:hAnsi="Arial" w:cs="Arial"/>
          <w:lang w:val="en-US"/>
        </w:rPr>
      </w:pPr>
    </w:p>
    <w:p w:rsidR="005E0208" w:rsidRPr="00095CDB" w:rsidRDefault="005E0208" w:rsidP="00993CB0">
      <w:pPr>
        <w:jc w:val="both"/>
        <w:rPr>
          <w:rFonts w:ascii="Arial" w:hAnsi="Arial" w:cs="Arial"/>
          <w:b/>
          <w:bCs/>
          <w:sz w:val="20"/>
          <w:szCs w:val="20"/>
          <w:lang w:val="en-US"/>
        </w:rPr>
      </w:pPr>
      <w:r>
        <w:rPr>
          <w:rFonts w:ascii="Arial" w:hAnsi="Arial" w:cs="Arial"/>
          <w:b/>
          <w:bCs/>
          <w:sz w:val="20"/>
          <w:szCs w:val="20"/>
          <w:lang w:val="en-US"/>
        </w:rPr>
        <w:t>9:00 - 9:15</w:t>
      </w:r>
      <w:r>
        <w:rPr>
          <w:rFonts w:ascii="Arial" w:hAnsi="Arial" w:cs="Arial"/>
          <w:b/>
          <w:bCs/>
          <w:sz w:val="20"/>
          <w:szCs w:val="20"/>
          <w:lang w:val="en-US"/>
        </w:rPr>
        <w:tab/>
      </w:r>
      <w:r>
        <w:rPr>
          <w:rFonts w:ascii="Arial" w:hAnsi="Arial" w:cs="Arial"/>
          <w:b/>
          <w:bCs/>
          <w:sz w:val="20"/>
          <w:szCs w:val="20"/>
          <w:lang w:val="en-US"/>
        </w:rPr>
        <w:tab/>
        <w:t>Welcome and introduction</w:t>
      </w:r>
    </w:p>
    <w:p w:rsidR="005E0208" w:rsidRPr="00AB1C65" w:rsidRDefault="005E0208" w:rsidP="00993CB0">
      <w:pPr>
        <w:jc w:val="both"/>
        <w:rPr>
          <w:rFonts w:ascii="Arial" w:hAnsi="Arial" w:cs="Arial"/>
          <w:sz w:val="20"/>
          <w:szCs w:val="20"/>
          <w:lang w:val="en-US"/>
        </w:rPr>
      </w:pPr>
      <w:r>
        <w:rPr>
          <w:rFonts w:ascii="Arial" w:hAnsi="Arial" w:cs="Arial"/>
          <w:sz w:val="20"/>
          <w:szCs w:val="20"/>
          <w:lang w:val="en-US"/>
        </w:rPr>
        <w:t xml:space="preserve">The chairman, Peter Greisler, opens the first meeting of the working group and welcomes </w:t>
      </w:r>
      <w:r w:rsidRPr="00A01896">
        <w:rPr>
          <w:rFonts w:ascii="Arial" w:hAnsi="Arial" w:cs="Arial"/>
          <w:sz w:val="20"/>
          <w:szCs w:val="20"/>
          <w:lang w:val="en-US"/>
        </w:rPr>
        <w:t>the participants. Apologies had been received from</w:t>
      </w:r>
      <w:r>
        <w:rPr>
          <w:rFonts w:ascii="Arial" w:hAnsi="Arial" w:cs="Arial"/>
          <w:sz w:val="20"/>
          <w:szCs w:val="20"/>
          <w:lang w:val="en-US"/>
        </w:rPr>
        <w:t xml:space="preserve"> </w:t>
      </w:r>
      <w:smartTag w:uri="urn:schemas-microsoft-com:office:smarttags" w:element="City">
        <w:r>
          <w:rPr>
            <w:rFonts w:ascii="Arial" w:hAnsi="Arial" w:cs="Arial"/>
            <w:sz w:val="20"/>
            <w:szCs w:val="20"/>
            <w:lang w:val="en-US"/>
          </w:rPr>
          <w:t>Armenia</w:t>
        </w:r>
      </w:smartTag>
      <w:r>
        <w:rPr>
          <w:rFonts w:ascii="Arial" w:hAnsi="Arial" w:cs="Arial"/>
          <w:sz w:val="20"/>
          <w:szCs w:val="20"/>
          <w:lang w:val="en-US"/>
        </w:rPr>
        <w:t>,</w:t>
      </w:r>
      <w:r w:rsidRPr="00A01896">
        <w:rPr>
          <w:rFonts w:ascii="Arial" w:hAnsi="Arial" w:cs="Arial"/>
          <w:sz w:val="20"/>
          <w:szCs w:val="20"/>
          <w:lang w:val="en-US"/>
        </w:rPr>
        <w:t xml:space="preserve"> </w:t>
      </w:r>
      <w:smartTag w:uri="urn:schemas-microsoft-com:office:smarttags" w:element="country-region">
        <w:r w:rsidRPr="00A01896">
          <w:rPr>
            <w:rFonts w:ascii="Arial" w:hAnsi="Arial" w:cs="Arial"/>
            <w:sz w:val="20"/>
            <w:szCs w:val="20"/>
            <w:lang w:val="en-US"/>
          </w:rPr>
          <w:t>Georgia</w:t>
        </w:r>
      </w:smartTag>
      <w:r w:rsidRPr="00AB1C65">
        <w:rPr>
          <w:rFonts w:ascii="Arial" w:hAnsi="Arial" w:cs="Arial"/>
          <w:sz w:val="20"/>
          <w:szCs w:val="20"/>
          <w:lang w:val="en-US"/>
        </w:rPr>
        <w:t xml:space="preserve">, “the </w:t>
      </w:r>
      <w:smartTag w:uri="urn:schemas-microsoft-com:office:smarttags" w:element="place">
        <w:smartTag w:uri="urn:schemas-microsoft-com:office:smarttags" w:element="country-region">
          <w:r w:rsidRPr="00AB1C65">
            <w:rPr>
              <w:rFonts w:ascii="Arial" w:hAnsi="Arial" w:cs="Arial"/>
              <w:sz w:val="20"/>
              <w:szCs w:val="20"/>
              <w:lang w:val="en-GB"/>
            </w:rPr>
            <w:t>former Yugoslav Republic of Macedonia</w:t>
          </w:r>
        </w:smartTag>
      </w:smartTag>
      <w:r w:rsidRPr="00AB1C65">
        <w:rPr>
          <w:rFonts w:ascii="Arial" w:hAnsi="Arial" w:cs="Arial"/>
          <w:sz w:val="20"/>
          <w:szCs w:val="20"/>
          <w:lang w:val="en-GB"/>
        </w:rPr>
        <w:t xml:space="preserve">” </w:t>
      </w:r>
      <w:r w:rsidRPr="00AB1C65">
        <w:rPr>
          <w:rFonts w:ascii="Arial" w:hAnsi="Arial" w:cs="Arial"/>
          <w:sz w:val="20"/>
          <w:szCs w:val="20"/>
          <w:lang w:val="en-US"/>
        </w:rPr>
        <w:t xml:space="preserve">and BusinessEurope. All participants introduce themselves. </w:t>
      </w:r>
    </w:p>
    <w:p w:rsidR="005E0208" w:rsidRPr="00095CDB" w:rsidRDefault="005E0208" w:rsidP="00AB0480">
      <w:pPr>
        <w:jc w:val="both"/>
        <w:rPr>
          <w:rFonts w:ascii="Arial" w:hAnsi="Arial" w:cs="Arial"/>
          <w:b/>
          <w:bCs/>
          <w:sz w:val="20"/>
          <w:szCs w:val="20"/>
          <w:lang w:val="en-US"/>
        </w:rPr>
      </w:pPr>
      <w:r>
        <w:rPr>
          <w:rFonts w:ascii="Arial" w:hAnsi="Arial" w:cs="Arial"/>
          <w:b/>
          <w:bCs/>
          <w:sz w:val="20"/>
          <w:szCs w:val="20"/>
          <w:lang w:val="en-US"/>
        </w:rPr>
        <w:t xml:space="preserve">9:15 </w:t>
      </w:r>
      <w:r>
        <w:rPr>
          <w:rFonts w:ascii="Arial" w:hAnsi="Arial" w:cs="Arial"/>
          <w:b/>
          <w:bCs/>
          <w:sz w:val="20"/>
          <w:szCs w:val="20"/>
          <w:lang w:val="en-GB"/>
        </w:rPr>
        <w:t>–</w:t>
      </w:r>
      <w:r>
        <w:rPr>
          <w:rFonts w:ascii="Arial" w:hAnsi="Arial" w:cs="Arial"/>
          <w:b/>
          <w:bCs/>
          <w:sz w:val="20"/>
          <w:szCs w:val="20"/>
          <w:lang w:val="en-US"/>
        </w:rPr>
        <w:t xml:space="preserve"> 12:15</w:t>
      </w:r>
      <w:r>
        <w:rPr>
          <w:rFonts w:ascii="Arial" w:hAnsi="Arial" w:cs="Arial"/>
          <w:b/>
          <w:bCs/>
          <w:sz w:val="20"/>
          <w:szCs w:val="20"/>
          <w:lang w:val="en-US"/>
        </w:rPr>
        <w:tab/>
      </w:r>
      <w:r>
        <w:rPr>
          <w:rFonts w:ascii="Arial" w:hAnsi="Arial" w:cs="Arial"/>
          <w:b/>
          <w:bCs/>
          <w:sz w:val="20"/>
          <w:szCs w:val="20"/>
          <w:lang w:val="en-US"/>
        </w:rPr>
        <w:tab/>
        <w:t xml:space="preserve">20% target and data issues   </w:t>
      </w:r>
    </w:p>
    <w:p w:rsidR="005E0208" w:rsidRPr="00095CDB" w:rsidRDefault="005E0208" w:rsidP="00AB0480">
      <w:pPr>
        <w:ind w:firstLine="708"/>
        <w:jc w:val="both"/>
        <w:rPr>
          <w:rFonts w:ascii="Arial" w:hAnsi="Arial" w:cs="Arial"/>
          <w:b/>
          <w:bCs/>
          <w:sz w:val="20"/>
          <w:szCs w:val="20"/>
          <w:lang w:val="en-US"/>
        </w:rPr>
      </w:pPr>
      <w:r>
        <w:rPr>
          <w:rFonts w:ascii="Arial" w:hAnsi="Arial" w:cs="Arial"/>
          <w:i/>
          <w:iCs/>
          <w:sz w:val="20"/>
          <w:szCs w:val="20"/>
          <w:lang w:val="en-US"/>
        </w:rPr>
        <w:t>(Input: Paper on data issues from data collectors)</w:t>
      </w:r>
    </w:p>
    <w:p w:rsidR="005E0208" w:rsidRPr="00095CDB" w:rsidRDefault="005E0208" w:rsidP="00993CB0">
      <w:pPr>
        <w:jc w:val="both"/>
        <w:rPr>
          <w:rFonts w:ascii="Arial" w:hAnsi="Arial" w:cs="Arial"/>
          <w:sz w:val="20"/>
          <w:szCs w:val="20"/>
          <w:lang w:val="en-US"/>
        </w:rPr>
      </w:pPr>
      <w:r>
        <w:rPr>
          <w:rFonts w:ascii="Arial" w:hAnsi="Arial" w:cs="Arial"/>
          <w:sz w:val="20"/>
          <w:szCs w:val="20"/>
          <w:lang w:val="en-US"/>
        </w:rPr>
        <w:t xml:space="preserve">The chairman thanks the data providers for the prepared document. The goal of the meeting is to agree on the definition and scope of the mobility target indicator as an input for the meeting of the implementation working group in </w:t>
      </w:r>
      <w:smartTag w:uri="urn:schemas-microsoft-com:office:smarttags" w:element="place">
        <w:smartTag w:uri="urn:schemas-microsoft-com:office:smarttags" w:element="country-region">
          <w:r>
            <w:rPr>
              <w:rFonts w:ascii="Arial" w:hAnsi="Arial" w:cs="Arial"/>
              <w:sz w:val="20"/>
              <w:szCs w:val="20"/>
              <w:lang w:val="en-US"/>
            </w:rPr>
            <w:t>Luxembourg</w:t>
          </w:r>
        </w:smartTag>
      </w:smartTag>
      <w:r>
        <w:rPr>
          <w:rFonts w:ascii="Arial" w:hAnsi="Arial" w:cs="Arial"/>
          <w:sz w:val="20"/>
          <w:szCs w:val="20"/>
          <w:lang w:val="en-US"/>
        </w:rPr>
        <w:t xml:space="preserve"> on 21 January 2010, and afterwards for the BFUG. </w:t>
      </w:r>
    </w:p>
    <w:p w:rsidR="005E0208" w:rsidRPr="00095CDB" w:rsidRDefault="005E0208" w:rsidP="00993CB0">
      <w:pPr>
        <w:jc w:val="both"/>
        <w:rPr>
          <w:rFonts w:ascii="Arial" w:hAnsi="Arial" w:cs="Arial"/>
          <w:sz w:val="20"/>
          <w:szCs w:val="20"/>
          <w:lang w:val="en-US"/>
        </w:rPr>
      </w:pPr>
      <w:r>
        <w:rPr>
          <w:rFonts w:ascii="Arial" w:hAnsi="Arial" w:cs="Arial"/>
          <w:sz w:val="20"/>
          <w:szCs w:val="20"/>
          <w:lang w:val="en-US"/>
        </w:rPr>
        <w:t>The EU Commission will decide on their mobility benchmark in spring. Then BFUG can again react, before the EU council decides on the EU-benchmark in November. To make the process transparent, the chairman asked all EU representatives to inform their colleagues, who prepare the EU-council decision.</w:t>
      </w:r>
    </w:p>
    <w:p w:rsidR="005E0208" w:rsidRDefault="005E0208">
      <w:pPr>
        <w:jc w:val="both"/>
        <w:rPr>
          <w:rFonts w:ascii="Arial" w:hAnsi="Arial" w:cs="Arial"/>
          <w:sz w:val="20"/>
          <w:szCs w:val="20"/>
          <w:lang w:val="en-US"/>
        </w:rPr>
      </w:pPr>
      <w:r>
        <w:rPr>
          <w:rFonts w:ascii="Arial" w:hAnsi="Arial" w:cs="Arial"/>
          <w:b/>
          <w:bCs/>
          <w:sz w:val="20"/>
          <w:szCs w:val="20"/>
          <w:lang w:val="en-US"/>
        </w:rPr>
        <w:t>By way of introduction</w:t>
      </w:r>
      <w:r>
        <w:rPr>
          <w:rFonts w:ascii="Arial" w:hAnsi="Arial" w:cs="Arial"/>
          <w:sz w:val="20"/>
          <w:szCs w:val="20"/>
          <w:lang w:val="en-US"/>
        </w:rPr>
        <w:t xml:space="preserve"> Fernando Reis gives a presentation on the background document of the data providers. </w:t>
      </w:r>
    </w:p>
    <w:p w:rsidR="005E0208" w:rsidRPr="00095CDB" w:rsidRDefault="005E0208" w:rsidP="00993CB0">
      <w:pPr>
        <w:jc w:val="both"/>
        <w:rPr>
          <w:rFonts w:ascii="Arial" w:hAnsi="Arial" w:cs="Arial"/>
          <w:sz w:val="20"/>
          <w:szCs w:val="20"/>
          <w:lang w:val="en-US"/>
        </w:rPr>
      </w:pPr>
      <w:r>
        <w:rPr>
          <w:rFonts w:ascii="Arial" w:hAnsi="Arial" w:cs="Arial"/>
          <w:sz w:val="20"/>
          <w:szCs w:val="20"/>
          <w:lang w:val="en-US"/>
        </w:rPr>
        <w:t xml:space="preserve">In relation to the 20% target indicator the group decided </w:t>
      </w:r>
    </w:p>
    <w:p w:rsidR="005E0208" w:rsidRDefault="005E0208">
      <w:pPr>
        <w:pStyle w:val="ListParagraph"/>
        <w:numPr>
          <w:ilvl w:val="0"/>
          <w:numId w:val="12"/>
        </w:numPr>
        <w:jc w:val="both"/>
        <w:rPr>
          <w:rFonts w:ascii="Arial" w:hAnsi="Arial" w:cs="Arial"/>
          <w:sz w:val="20"/>
          <w:szCs w:val="20"/>
          <w:lang w:val="en-US"/>
        </w:rPr>
      </w:pPr>
      <w:r>
        <w:rPr>
          <w:rFonts w:ascii="Arial" w:hAnsi="Arial" w:cs="Arial"/>
          <w:sz w:val="20"/>
          <w:szCs w:val="20"/>
          <w:lang w:val="en-US"/>
        </w:rPr>
        <w:t>C</w:t>
      </w:r>
      <w:r w:rsidRPr="00A01896">
        <w:rPr>
          <w:rFonts w:ascii="Arial" w:hAnsi="Arial" w:cs="Arial"/>
          <w:sz w:val="20"/>
          <w:szCs w:val="20"/>
          <w:lang w:val="en-US"/>
        </w:rPr>
        <w:t xml:space="preserve">redit mobility </w:t>
      </w:r>
      <w:r w:rsidRPr="00095CDB">
        <w:rPr>
          <w:rFonts w:ascii="Arial" w:hAnsi="Arial" w:cs="Arial"/>
          <w:sz w:val="20"/>
          <w:szCs w:val="20"/>
          <w:lang w:val="en-US"/>
        </w:rPr>
        <w:t>shall be taken</w:t>
      </w:r>
      <w:r>
        <w:rPr>
          <w:rFonts w:ascii="Arial" w:hAnsi="Arial" w:cs="Arial"/>
          <w:sz w:val="20"/>
          <w:szCs w:val="20"/>
          <w:lang w:val="en-US"/>
        </w:rPr>
        <w:t xml:space="preserve"> into account </w:t>
      </w:r>
      <w:r w:rsidRPr="00A01896">
        <w:rPr>
          <w:rFonts w:ascii="Arial" w:hAnsi="Arial" w:cs="Arial"/>
          <w:sz w:val="20"/>
          <w:szCs w:val="20"/>
          <w:lang w:val="en-US"/>
        </w:rPr>
        <w:t xml:space="preserve">starting from one credit. </w:t>
      </w:r>
      <w:r>
        <w:rPr>
          <w:rFonts w:ascii="Arial" w:hAnsi="Arial" w:cs="Arial"/>
          <w:sz w:val="20"/>
          <w:szCs w:val="20"/>
          <w:lang w:val="en-US"/>
        </w:rPr>
        <w:t>Apart from the definition of the 20% target. m</w:t>
      </w:r>
      <w:r w:rsidRPr="00A01896">
        <w:rPr>
          <w:rFonts w:ascii="Arial" w:hAnsi="Arial" w:cs="Arial"/>
          <w:sz w:val="20"/>
          <w:szCs w:val="20"/>
          <w:lang w:val="en-US"/>
        </w:rPr>
        <w:t xml:space="preserve">ore differentiated data on the length of the period abroad/the number of credits awarded would be appreciated. Similarly, information on other types of short term mobility and how many students chose what kind of short time mobility should be collected. This can be achieved by other data collecting tools (Eurostudent) </w:t>
      </w:r>
    </w:p>
    <w:p w:rsidR="005E0208" w:rsidRDefault="005E0208">
      <w:pPr>
        <w:pStyle w:val="ListParagraph"/>
        <w:numPr>
          <w:ilvl w:val="0"/>
          <w:numId w:val="12"/>
        </w:numPr>
        <w:jc w:val="both"/>
        <w:rPr>
          <w:rFonts w:ascii="Arial" w:hAnsi="Arial" w:cs="Arial"/>
          <w:sz w:val="20"/>
          <w:szCs w:val="20"/>
          <w:lang w:val="en-US"/>
        </w:rPr>
      </w:pPr>
      <w:r w:rsidRPr="00095CDB">
        <w:rPr>
          <w:rFonts w:ascii="Arial" w:hAnsi="Arial" w:cs="Arial"/>
          <w:sz w:val="20"/>
          <w:szCs w:val="20"/>
          <w:lang w:val="en-US"/>
        </w:rPr>
        <w:t>B</w:t>
      </w:r>
      <w:r w:rsidRPr="00A01896">
        <w:rPr>
          <w:rFonts w:ascii="Arial" w:hAnsi="Arial" w:cs="Arial"/>
          <w:sz w:val="20"/>
          <w:szCs w:val="20"/>
          <w:lang w:val="en-US"/>
        </w:rPr>
        <w:t xml:space="preserve">oth diploma and credit mobility </w:t>
      </w:r>
      <w:r w:rsidRPr="00095CDB">
        <w:rPr>
          <w:rFonts w:ascii="Arial" w:hAnsi="Arial" w:cs="Arial"/>
          <w:sz w:val="20"/>
          <w:szCs w:val="20"/>
          <w:lang w:val="en-US"/>
        </w:rPr>
        <w:t>shall be include</w:t>
      </w:r>
      <w:r>
        <w:rPr>
          <w:rFonts w:ascii="Arial" w:hAnsi="Arial" w:cs="Arial"/>
          <w:sz w:val="20"/>
          <w:szCs w:val="20"/>
          <w:lang w:val="en-US"/>
        </w:rPr>
        <w:t>d</w:t>
      </w:r>
      <w:r w:rsidRPr="00095CDB">
        <w:rPr>
          <w:rFonts w:ascii="Arial" w:hAnsi="Arial" w:cs="Arial"/>
          <w:sz w:val="20"/>
          <w:szCs w:val="20"/>
          <w:lang w:val="en-US"/>
        </w:rPr>
        <w:t xml:space="preserve"> </w:t>
      </w:r>
      <w:r w:rsidRPr="00A01896">
        <w:rPr>
          <w:rFonts w:ascii="Arial" w:hAnsi="Arial" w:cs="Arial"/>
          <w:sz w:val="20"/>
          <w:szCs w:val="20"/>
          <w:lang w:val="en-US"/>
        </w:rPr>
        <w:t>in the indicator. The group recognizes the differences in intensity and motivation for the two types of mobility</w:t>
      </w:r>
      <w:r w:rsidRPr="00095CDB">
        <w:rPr>
          <w:rFonts w:ascii="Arial" w:hAnsi="Arial" w:cs="Arial"/>
          <w:sz w:val="20"/>
          <w:szCs w:val="20"/>
          <w:lang w:val="en-US"/>
        </w:rPr>
        <w:t xml:space="preserve">, and therefore asks for additional and separate information </w:t>
      </w:r>
      <w:r>
        <w:rPr>
          <w:rFonts w:ascii="Arial" w:hAnsi="Arial" w:cs="Arial"/>
          <w:sz w:val="20"/>
          <w:szCs w:val="20"/>
          <w:lang w:val="en-US"/>
        </w:rPr>
        <w:t>on degree and credit mobility.</w:t>
      </w:r>
    </w:p>
    <w:p w:rsidR="005E0208" w:rsidRDefault="005E0208">
      <w:pPr>
        <w:pStyle w:val="ListParagraph"/>
        <w:numPr>
          <w:ilvl w:val="0"/>
          <w:numId w:val="12"/>
        </w:numPr>
        <w:jc w:val="both"/>
        <w:rPr>
          <w:rFonts w:ascii="Arial" w:hAnsi="Arial" w:cs="Arial"/>
          <w:sz w:val="20"/>
          <w:szCs w:val="20"/>
          <w:lang w:val="en-US"/>
        </w:rPr>
      </w:pPr>
      <w:r w:rsidRPr="00A01896">
        <w:rPr>
          <w:rFonts w:ascii="Arial" w:hAnsi="Arial" w:cs="Arial"/>
          <w:sz w:val="20"/>
          <w:szCs w:val="20"/>
          <w:lang w:val="en-US"/>
        </w:rPr>
        <w:t>Relating to the origin of students included in the indicator, the group asks the data collectors to clarify the definition of origin (</w:t>
      </w:r>
      <w:r w:rsidRPr="00095CDB">
        <w:rPr>
          <w:rFonts w:ascii="Arial" w:hAnsi="Arial" w:cs="Arial"/>
          <w:sz w:val="20"/>
          <w:szCs w:val="20"/>
          <w:lang w:val="en-US"/>
        </w:rPr>
        <w:t>place w</w:t>
      </w:r>
      <w:r w:rsidRPr="00A01896">
        <w:rPr>
          <w:rFonts w:ascii="Arial" w:hAnsi="Arial" w:cs="Arial"/>
          <w:sz w:val="20"/>
          <w:szCs w:val="20"/>
          <w:lang w:val="en-US"/>
        </w:rPr>
        <w:t>here previous degree</w:t>
      </w:r>
      <w:r w:rsidRPr="00095CDB">
        <w:rPr>
          <w:rFonts w:ascii="Arial" w:hAnsi="Arial" w:cs="Arial"/>
          <w:sz w:val="20"/>
          <w:szCs w:val="20"/>
          <w:lang w:val="en-US"/>
        </w:rPr>
        <w:t xml:space="preserve"> was deserved</w:t>
      </w:r>
      <w:r w:rsidRPr="00A01896">
        <w:rPr>
          <w:rFonts w:ascii="Arial" w:hAnsi="Arial" w:cs="Arial"/>
          <w:sz w:val="20"/>
          <w:szCs w:val="20"/>
          <w:lang w:val="en-US"/>
        </w:rPr>
        <w:t xml:space="preserve">, residence, nationality) </w:t>
      </w:r>
      <w:r w:rsidRPr="00095CDB">
        <w:rPr>
          <w:rFonts w:ascii="Arial" w:hAnsi="Arial" w:cs="Arial"/>
          <w:sz w:val="20"/>
          <w:szCs w:val="20"/>
          <w:lang w:val="en-US"/>
        </w:rPr>
        <w:t xml:space="preserve">for </w:t>
      </w:r>
      <w:r w:rsidRPr="00A01896">
        <w:rPr>
          <w:rFonts w:ascii="Arial" w:hAnsi="Arial" w:cs="Arial"/>
          <w:sz w:val="20"/>
          <w:szCs w:val="20"/>
          <w:lang w:val="en-US"/>
        </w:rPr>
        <w:t xml:space="preserve">the benchmark </w:t>
      </w:r>
      <w:r w:rsidRPr="00095CDB">
        <w:rPr>
          <w:rFonts w:ascii="Arial" w:hAnsi="Arial" w:cs="Arial"/>
          <w:sz w:val="20"/>
          <w:szCs w:val="20"/>
          <w:lang w:val="en-US"/>
        </w:rPr>
        <w:t xml:space="preserve">proposal </w:t>
      </w:r>
      <w:r w:rsidRPr="00A01896">
        <w:rPr>
          <w:rFonts w:ascii="Arial" w:hAnsi="Arial" w:cs="Arial"/>
          <w:sz w:val="20"/>
          <w:szCs w:val="20"/>
          <w:lang w:val="en-US"/>
        </w:rPr>
        <w:t xml:space="preserve">for the WG implementation in </w:t>
      </w:r>
      <w:smartTag w:uri="urn:schemas-microsoft-com:office:smarttags" w:element="place">
        <w:smartTag w:uri="urn:schemas-microsoft-com:office:smarttags" w:element="country-region">
          <w:r w:rsidRPr="00A01896">
            <w:rPr>
              <w:rFonts w:ascii="Arial" w:hAnsi="Arial" w:cs="Arial"/>
              <w:sz w:val="20"/>
              <w:szCs w:val="20"/>
              <w:lang w:val="en-US"/>
            </w:rPr>
            <w:t>Luxembourg</w:t>
          </w:r>
        </w:smartTag>
      </w:smartTag>
      <w:r w:rsidRPr="00A01896">
        <w:rPr>
          <w:rFonts w:ascii="Arial" w:hAnsi="Arial" w:cs="Arial"/>
          <w:sz w:val="20"/>
          <w:szCs w:val="20"/>
          <w:lang w:val="en-US"/>
        </w:rPr>
        <w:t>. Discussions focus</w:t>
      </w:r>
      <w:r w:rsidRPr="00095CDB">
        <w:rPr>
          <w:rFonts w:ascii="Arial" w:hAnsi="Arial" w:cs="Arial"/>
          <w:sz w:val="20"/>
          <w:szCs w:val="20"/>
          <w:lang w:val="en-US"/>
        </w:rPr>
        <w:t>sed</w:t>
      </w:r>
      <w:r w:rsidRPr="00A01896">
        <w:rPr>
          <w:rFonts w:ascii="Arial" w:hAnsi="Arial" w:cs="Arial"/>
          <w:sz w:val="20"/>
          <w:szCs w:val="20"/>
          <w:lang w:val="en-US"/>
        </w:rPr>
        <w:t xml:space="preserve"> on the treatment of </w:t>
      </w:r>
      <w:r w:rsidRPr="00095CDB">
        <w:rPr>
          <w:rFonts w:ascii="Arial" w:hAnsi="Arial" w:cs="Arial"/>
          <w:sz w:val="20"/>
          <w:szCs w:val="20"/>
          <w:lang w:val="en-US"/>
        </w:rPr>
        <w:t>“</w:t>
      </w:r>
      <w:r w:rsidRPr="00A01896">
        <w:rPr>
          <w:rFonts w:ascii="Arial" w:hAnsi="Arial" w:cs="Arial"/>
          <w:sz w:val="20"/>
          <w:szCs w:val="20"/>
          <w:lang w:val="en-US"/>
        </w:rPr>
        <w:t>homecoming students</w:t>
      </w:r>
      <w:r w:rsidRPr="00095CDB">
        <w:rPr>
          <w:rFonts w:ascii="Arial" w:hAnsi="Arial" w:cs="Arial"/>
          <w:sz w:val="20"/>
          <w:szCs w:val="20"/>
          <w:lang w:val="en-US"/>
        </w:rPr>
        <w:t>” and non-EHEA students that start their studies in the EHEA</w:t>
      </w:r>
    </w:p>
    <w:p w:rsidR="005E0208" w:rsidRDefault="005E0208">
      <w:pPr>
        <w:pStyle w:val="ListParagraph"/>
        <w:numPr>
          <w:ilvl w:val="0"/>
          <w:numId w:val="12"/>
        </w:numPr>
        <w:jc w:val="both"/>
        <w:rPr>
          <w:rFonts w:ascii="Arial" w:hAnsi="Arial" w:cs="Arial"/>
          <w:sz w:val="20"/>
          <w:szCs w:val="20"/>
          <w:lang w:val="en-US"/>
        </w:rPr>
      </w:pPr>
      <w:r w:rsidRPr="00095CDB">
        <w:rPr>
          <w:rFonts w:ascii="Arial" w:hAnsi="Arial" w:cs="Arial"/>
          <w:sz w:val="20"/>
          <w:szCs w:val="20"/>
          <w:lang w:val="en-US"/>
        </w:rPr>
        <w:t xml:space="preserve">The group also discussed whether inward mobility should be </w:t>
      </w:r>
      <w:r>
        <w:rPr>
          <w:rFonts w:ascii="Arial" w:hAnsi="Arial" w:cs="Arial"/>
          <w:sz w:val="20"/>
          <w:szCs w:val="20"/>
          <w:lang w:val="en-US"/>
        </w:rPr>
        <w:t xml:space="preserve">included in the indicator or not. </w:t>
      </w:r>
      <w:r w:rsidRPr="00A01896">
        <w:rPr>
          <w:rFonts w:ascii="Arial" w:hAnsi="Arial" w:cs="Arial"/>
          <w:sz w:val="20"/>
          <w:szCs w:val="20"/>
          <w:lang w:val="en-GB"/>
        </w:rPr>
        <w:t xml:space="preserve">While some members referred to the wording within the Leuven/Louvain-la-Neuve Communiqué (“students graduating within the EHEA”), others pointed out that inward mobility is an important factor for measuring </w:t>
      </w:r>
      <w:r w:rsidRPr="00095CDB">
        <w:rPr>
          <w:rFonts w:ascii="Arial" w:hAnsi="Arial" w:cs="Arial"/>
          <w:sz w:val="20"/>
          <w:szCs w:val="20"/>
          <w:lang w:val="en-US"/>
        </w:rPr>
        <w:t>the attractiveness of education within the EHEA</w:t>
      </w:r>
      <w:r w:rsidRPr="00A01896">
        <w:rPr>
          <w:rFonts w:ascii="Arial" w:hAnsi="Arial" w:cs="Arial"/>
          <w:sz w:val="20"/>
          <w:szCs w:val="20"/>
          <w:lang w:val="en-US"/>
        </w:rPr>
        <w:t xml:space="preserve"> but that the concepts of </w:t>
      </w:r>
      <w:r w:rsidRPr="00095CDB">
        <w:rPr>
          <w:rFonts w:ascii="Arial" w:hAnsi="Arial" w:cs="Arial"/>
          <w:sz w:val="20"/>
          <w:szCs w:val="20"/>
          <w:lang w:val="en-US"/>
        </w:rPr>
        <w:t>inward and outward mobility should not be mixed. The original idea of the last mobility group was to develop two separate indicators for incoming and outgoing mobility.</w:t>
      </w:r>
    </w:p>
    <w:p w:rsidR="005E0208" w:rsidRDefault="005E0208">
      <w:pPr>
        <w:pStyle w:val="ListParagraph"/>
        <w:jc w:val="both"/>
        <w:rPr>
          <w:rFonts w:ascii="Arial" w:hAnsi="Arial" w:cs="Arial"/>
          <w:sz w:val="20"/>
          <w:szCs w:val="20"/>
          <w:lang w:val="en-US"/>
        </w:rPr>
      </w:pPr>
      <w:r>
        <w:rPr>
          <w:rFonts w:ascii="Arial" w:hAnsi="Arial" w:cs="Arial"/>
          <w:sz w:val="20"/>
          <w:szCs w:val="20"/>
          <w:lang w:val="en-US"/>
        </w:rPr>
        <w:t>In c</w:t>
      </w:r>
      <w:r w:rsidRPr="00A01896">
        <w:rPr>
          <w:rFonts w:ascii="Arial" w:hAnsi="Arial" w:cs="Arial"/>
          <w:sz w:val="20"/>
          <w:szCs w:val="20"/>
          <w:lang w:val="en-US"/>
        </w:rPr>
        <w:t>onclusion the group agree</w:t>
      </w:r>
      <w:r w:rsidRPr="00095CDB">
        <w:rPr>
          <w:rFonts w:ascii="Arial" w:hAnsi="Arial" w:cs="Arial"/>
          <w:sz w:val="20"/>
          <w:szCs w:val="20"/>
          <w:lang w:val="en-US"/>
        </w:rPr>
        <w:t>d</w:t>
      </w:r>
      <w:r w:rsidRPr="00A01896">
        <w:rPr>
          <w:rFonts w:ascii="Arial" w:hAnsi="Arial" w:cs="Arial"/>
          <w:sz w:val="20"/>
          <w:szCs w:val="20"/>
          <w:lang w:val="en-US"/>
        </w:rPr>
        <w:t xml:space="preserve"> that it is important to have data both on inward and outward mobility, while the target indicator should focus on outward mobility.</w:t>
      </w:r>
      <w:r w:rsidRPr="00095CDB">
        <w:rPr>
          <w:rFonts w:ascii="Arial" w:hAnsi="Arial" w:cs="Arial"/>
          <w:sz w:val="20"/>
          <w:szCs w:val="20"/>
          <w:lang w:val="en-US"/>
        </w:rPr>
        <w:t xml:space="preserve"> The question whether a second target for inward mobility is needed may be decided at a later stage.</w:t>
      </w:r>
    </w:p>
    <w:p w:rsidR="005E0208" w:rsidRDefault="005E0208">
      <w:pPr>
        <w:pStyle w:val="ListParagraph"/>
        <w:jc w:val="both"/>
        <w:rPr>
          <w:rFonts w:ascii="Arial" w:hAnsi="Arial" w:cs="Arial"/>
          <w:sz w:val="20"/>
          <w:szCs w:val="20"/>
          <w:lang w:val="en-US"/>
        </w:rPr>
      </w:pPr>
      <w:r>
        <w:rPr>
          <w:rFonts w:ascii="Arial" w:hAnsi="Arial" w:cs="Arial"/>
          <w:sz w:val="20"/>
          <w:szCs w:val="20"/>
          <w:lang w:val="en-US"/>
        </w:rPr>
        <w:t xml:space="preserve">The chair will give a summary of the discussion in </w:t>
      </w:r>
      <w:smartTag w:uri="urn:schemas-microsoft-com:office:smarttags" w:element="place">
        <w:smartTag w:uri="urn:schemas-microsoft-com:office:smarttags" w:element="country-region">
          <w:r>
            <w:rPr>
              <w:rFonts w:ascii="Arial" w:hAnsi="Arial" w:cs="Arial"/>
              <w:sz w:val="20"/>
              <w:szCs w:val="20"/>
              <w:lang w:val="en-US"/>
            </w:rPr>
            <w:t>Luxembourg</w:t>
          </w:r>
        </w:smartTag>
      </w:smartTag>
      <w:r>
        <w:rPr>
          <w:rFonts w:ascii="Arial" w:hAnsi="Arial" w:cs="Arial"/>
          <w:sz w:val="20"/>
          <w:szCs w:val="20"/>
          <w:lang w:val="en-US"/>
        </w:rPr>
        <w:t>.</w:t>
      </w:r>
    </w:p>
    <w:p w:rsidR="005E0208" w:rsidRDefault="005E0208">
      <w:pPr>
        <w:pStyle w:val="ListParagraph"/>
        <w:numPr>
          <w:ilvl w:val="0"/>
          <w:numId w:val="12"/>
        </w:numPr>
        <w:jc w:val="both"/>
        <w:rPr>
          <w:rFonts w:ascii="Arial" w:hAnsi="Arial" w:cs="Arial"/>
          <w:sz w:val="20"/>
          <w:szCs w:val="20"/>
          <w:lang w:val="en-GB"/>
        </w:rPr>
      </w:pPr>
      <w:r w:rsidRPr="00A01896">
        <w:rPr>
          <w:rFonts w:ascii="Arial" w:hAnsi="Arial" w:cs="Arial"/>
          <w:sz w:val="20"/>
          <w:szCs w:val="20"/>
          <w:lang w:val="en-GB"/>
        </w:rPr>
        <w:t xml:space="preserve">On the regional scope of mobility the group saw two different areas of destination that </w:t>
      </w:r>
      <w:r w:rsidRPr="00A01896">
        <w:rPr>
          <w:rFonts w:ascii="Arial" w:hAnsi="Arial" w:cs="Arial"/>
          <w:sz w:val="20"/>
          <w:szCs w:val="20"/>
          <w:lang w:val="en-US"/>
        </w:rPr>
        <w:t>are</w:t>
      </w:r>
      <w:r w:rsidRPr="00A01896">
        <w:rPr>
          <w:rFonts w:ascii="Arial" w:hAnsi="Arial" w:cs="Arial"/>
          <w:sz w:val="20"/>
          <w:szCs w:val="20"/>
          <w:lang w:val="en-GB"/>
        </w:rPr>
        <w:t xml:space="preserve"> relevant for the mobility target: the EHEA and the world. </w:t>
      </w:r>
    </w:p>
    <w:p w:rsidR="005E0208" w:rsidRDefault="005E0208">
      <w:pPr>
        <w:pStyle w:val="ListParagraph"/>
        <w:jc w:val="both"/>
        <w:rPr>
          <w:rFonts w:ascii="Arial" w:hAnsi="Arial" w:cs="Arial"/>
          <w:sz w:val="20"/>
          <w:szCs w:val="20"/>
          <w:lang w:val="en-GB"/>
        </w:rPr>
      </w:pPr>
      <w:r w:rsidRPr="00A01896">
        <w:rPr>
          <w:rFonts w:ascii="Arial" w:hAnsi="Arial" w:cs="Arial"/>
          <w:sz w:val="20"/>
          <w:szCs w:val="20"/>
          <w:lang w:val="en-GB"/>
        </w:rPr>
        <w:t xml:space="preserve">While international mobility to any destination worldwide may be considered desirable in terms of personal development, it is not clear, whether it is a target to </w:t>
      </w:r>
      <w:r w:rsidRPr="00095CDB">
        <w:rPr>
          <w:rFonts w:ascii="Arial" w:hAnsi="Arial" w:cs="Arial"/>
          <w:sz w:val="20"/>
          <w:szCs w:val="20"/>
          <w:lang w:val="en-US"/>
        </w:rPr>
        <w:t xml:space="preserve">send Europeans out to graduate outside the EHEA, </w:t>
      </w:r>
      <w:r>
        <w:rPr>
          <w:rFonts w:ascii="Arial" w:hAnsi="Arial" w:cs="Arial"/>
          <w:sz w:val="20"/>
          <w:szCs w:val="20"/>
          <w:lang w:val="en-US"/>
        </w:rPr>
        <w:t>unless they come back to be employed in Europe. Discussions on this point will have to be continued.</w:t>
      </w:r>
    </w:p>
    <w:p w:rsidR="005E0208" w:rsidRDefault="005E0208">
      <w:pPr>
        <w:pStyle w:val="ListParagraph"/>
        <w:jc w:val="both"/>
        <w:rPr>
          <w:rFonts w:ascii="Arial" w:hAnsi="Arial" w:cs="Arial"/>
          <w:sz w:val="20"/>
          <w:szCs w:val="20"/>
          <w:lang w:val="en-US"/>
        </w:rPr>
      </w:pPr>
      <w:r w:rsidRPr="00A01896">
        <w:rPr>
          <w:rFonts w:ascii="Arial" w:hAnsi="Arial" w:cs="Arial"/>
          <w:sz w:val="20"/>
          <w:szCs w:val="20"/>
          <w:lang w:val="en-GB"/>
        </w:rPr>
        <w:t xml:space="preserve">As a preliminary result, it was agreed that the indicator should include </w:t>
      </w:r>
      <w:r w:rsidRPr="00095CDB">
        <w:rPr>
          <w:rFonts w:ascii="Arial" w:hAnsi="Arial" w:cs="Arial"/>
          <w:sz w:val="20"/>
          <w:szCs w:val="20"/>
          <w:lang w:val="en-US"/>
        </w:rPr>
        <w:t xml:space="preserve">credit mobility and degree mobility within the EHEA, </w:t>
      </w:r>
      <w:r>
        <w:rPr>
          <w:rFonts w:ascii="Arial" w:hAnsi="Arial" w:cs="Arial"/>
          <w:sz w:val="20"/>
          <w:szCs w:val="20"/>
          <w:lang w:val="en-US"/>
        </w:rPr>
        <w:t xml:space="preserve">and credit mobility within and outside the EHEA. </w:t>
      </w:r>
    </w:p>
    <w:p w:rsidR="005E0208" w:rsidRDefault="005E0208">
      <w:pPr>
        <w:pStyle w:val="ListParagraph"/>
        <w:jc w:val="both"/>
        <w:rPr>
          <w:rFonts w:ascii="Arial" w:hAnsi="Arial" w:cs="Arial"/>
          <w:sz w:val="20"/>
          <w:szCs w:val="20"/>
          <w:lang w:val="en-US"/>
        </w:rPr>
      </w:pPr>
      <w:r w:rsidRPr="00A01896">
        <w:rPr>
          <w:rFonts w:ascii="Arial" w:hAnsi="Arial" w:cs="Arial"/>
          <w:sz w:val="20"/>
          <w:szCs w:val="20"/>
          <w:lang w:val="en-GB"/>
        </w:rPr>
        <w:t xml:space="preserve">Data collectors pointed out that data on degree mobility are collected in the </w:t>
      </w:r>
      <w:r>
        <w:rPr>
          <w:rFonts w:ascii="Arial" w:hAnsi="Arial" w:cs="Arial"/>
          <w:sz w:val="20"/>
          <w:szCs w:val="20"/>
          <w:lang w:val="en-US"/>
        </w:rPr>
        <w:t>destination country. Mobility data for the world are therefore limited to the data available (OECD countries and possibly some other countries). Data collectors will provide a list of countries for which data are available.</w:t>
      </w:r>
    </w:p>
    <w:p w:rsidR="005E0208" w:rsidRDefault="005E0208">
      <w:pPr>
        <w:pStyle w:val="ListParagraph"/>
        <w:jc w:val="both"/>
        <w:rPr>
          <w:rFonts w:ascii="Arial" w:hAnsi="Arial" w:cs="Arial"/>
          <w:sz w:val="20"/>
          <w:szCs w:val="20"/>
          <w:lang w:val="en-US"/>
        </w:rPr>
      </w:pPr>
      <w:r>
        <w:rPr>
          <w:rFonts w:ascii="Arial" w:hAnsi="Arial" w:cs="Arial"/>
          <w:sz w:val="20"/>
          <w:szCs w:val="20"/>
          <w:lang w:val="en-US"/>
        </w:rPr>
        <w:t xml:space="preserve">As additional information, but not within the mobility target, the working group would like to have data on degree mobility to destinations outside the EHEA. </w:t>
      </w:r>
    </w:p>
    <w:p w:rsidR="005E0208" w:rsidRDefault="005E0208">
      <w:pPr>
        <w:pStyle w:val="ListParagraph"/>
        <w:numPr>
          <w:ilvl w:val="0"/>
          <w:numId w:val="12"/>
        </w:numPr>
        <w:jc w:val="both"/>
        <w:rPr>
          <w:rFonts w:ascii="Arial" w:hAnsi="Arial" w:cs="Arial"/>
          <w:sz w:val="20"/>
          <w:szCs w:val="20"/>
          <w:lang w:val="en-US"/>
        </w:rPr>
      </w:pPr>
      <w:r>
        <w:rPr>
          <w:rFonts w:ascii="Arial" w:hAnsi="Arial" w:cs="Arial"/>
          <w:sz w:val="20"/>
          <w:szCs w:val="20"/>
          <w:lang w:val="en-US"/>
        </w:rPr>
        <w:t>The group agreed t</w:t>
      </w:r>
      <w:r w:rsidRPr="00A01896">
        <w:rPr>
          <w:rFonts w:ascii="Arial" w:hAnsi="Arial" w:cs="Arial"/>
          <w:sz w:val="20"/>
          <w:szCs w:val="20"/>
          <w:lang w:val="en-US"/>
        </w:rPr>
        <w:t xml:space="preserve">o include mobility during the first, second and third cycle. For PhD students the group was in favour of including the data, but </w:t>
      </w:r>
      <w:r w:rsidRPr="00C36326">
        <w:rPr>
          <w:rFonts w:ascii="Arial" w:hAnsi="Arial" w:cs="Arial"/>
          <w:sz w:val="20"/>
          <w:szCs w:val="20"/>
          <w:lang w:val="en-GB"/>
        </w:rPr>
        <w:t>recognised</w:t>
      </w:r>
      <w:r w:rsidRPr="00A01896">
        <w:rPr>
          <w:rFonts w:ascii="Arial" w:hAnsi="Arial" w:cs="Arial"/>
          <w:sz w:val="20"/>
          <w:szCs w:val="20"/>
          <w:lang w:val="en-US"/>
        </w:rPr>
        <w:t xml:space="preserve"> difficulties in measuring </w:t>
      </w:r>
      <w:r w:rsidRPr="00095CDB">
        <w:rPr>
          <w:rFonts w:ascii="Arial" w:hAnsi="Arial" w:cs="Arial"/>
          <w:sz w:val="20"/>
          <w:szCs w:val="20"/>
          <w:lang w:val="en-US"/>
        </w:rPr>
        <w:t xml:space="preserve">“credit mobility” </w:t>
      </w:r>
      <w:r w:rsidRPr="00A01896">
        <w:rPr>
          <w:rFonts w:ascii="Arial" w:hAnsi="Arial" w:cs="Arial"/>
          <w:sz w:val="20"/>
          <w:szCs w:val="20"/>
          <w:lang w:val="en-US"/>
        </w:rPr>
        <w:t xml:space="preserve">due to the fact that credits are not used in the third cycle at all or for the mobility phases within the third cycle. </w:t>
      </w:r>
    </w:p>
    <w:p w:rsidR="005E0208" w:rsidRDefault="005E0208">
      <w:pPr>
        <w:pStyle w:val="ListParagraph"/>
        <w:numPr>
          <w:ilvl w:val="0"/>
          <w:numId w:val="12"/>
        </w:numPr>
        <w:jc w:val="both"/>
        <w:rPr>
          <w:rFonts w:ascii="Arial" w:hAnsi="Arial" w:cs="Arial"/>
          <w:sz w:val="20"/>
          <w:szCs w:val="20"/>
          <w:lang w:val="en-US"/>
        </w:rPr>
      </w:pPr>
      <w:r>
        <w:rPr>
          <w:rFonts w:ascii="Arial" w:hAnsi="Arial" w:cs="Arial"/>
          <w:sz w:val="20"/>
          <w:szCs w:val="20"/>
          <w:lang w:val="en-US"/>
        </w:rPr>
        <w:t>Short (2-year) programmes should be included if they are recognised by the government of the country, but differences in data because of these programmes and BA-MA-PhD should be visible.</w:t>
      </w:r>
    </w:p>
    <w:p w:rsidR="005E0208" w:rsidRDefault="005E0208">
      <w:pPr>
        <w:pStyle w:val="ListParagraph"/>
        <w:numPr>
          <w:ilvl w:val="0"/>
          <w:numId w:val="12"/>
        </w:numPr>
        <w:jc w:val="both"/>
        <w:rPr>
          <w:rFonts w:ascii="Arial" w:hAnsi="Arial" w:cs="Arial"/>
          <w:sz w:val="20"/>
          <w:szCs w:val="20"/>
          <w:lang w:val="en-US"/>
        </w:rPr>
      </w:pPr>
      <w:r>
        <w:rPr>
          <w:rFonts w:ascii="Arial" w:hAnsi="Arial" w:cs="Arial"/>
          <w:sz w:val="20"/>
          <w:szCs w:val="20"/>
          <w:lang w:val="en-US"/>
        </w:rPr>
        <w:t>For the indicator only mobility during the programme the student is completing should be taken into account. The reason behind this is that only countries with student registers can gather the data about the history of the student and know if they already went abroad in a previous programme.</w:t>
      </w:r>
    </w:p>
    <w:p w:rsidR="005E0208" w:rsidRDefault="005E0208">
      <w:pPr>
        <w:pStyle w:val="ListParagraph"/>
        <w:numPr>
          <w:ilvl w:val="0"/>
          <w:numId w:val="12"/>
        </w:numPr>
        <w:jc w:val="both"/>
        <w:rPr>
          <w:rFonts w:ascii="Arial" w:hAnsi="Arial" w:cs="Arial"/>
          <w:sz w:val="20"/>
          <w:szCs w:val="20"/>
          <w:lang w:val="en-US"/>
        </w:rPr>
      </w:pPr>
      <w:r w:rsidRPr="00A01896">
        <w:rPr>
          <w:rFonts w:ascii="Arial" w:hAnsi="Arial" w:cs="Arial"/>
          <w:sz w:val="20"/>
          <w:szCs w:val="20"/>
          <w:lang w:val="en-US"/>
        </w:rPr>
        <w:t xml:space="preserve">The group clarifies that </w:t>
      </w:r>
      <w:r w:rsidRPr="00095CDB">
        <w:rPr>
          <w:rFonts w:ascii="Arial" w:hAnsi="Arial" w:cs="Arial"/>
          <w:sz w:val="20"/>
          <w:szCs w:val="20"/>
          <w:lang w:val="en-US"/>
        </w:rPr>
        <w:t xml:space="preserve">mobility within </w:t>
      </w:r>
      <w:r>
        <w:rPr>
          <w:rFonts w:ascii="Arial" w:hAnsi="Arial" w:cs="Arial"/>
          <w:sz w:val="20"/>
          <w:szCs w:val="20"/>
          <w:lang w:val="en-US"/>
        </w:rPr>
        <w:t>joint degree programmes should be counted. It is a growing number and the group asks the data collectors to find a way to count these data.</w:t>
      </w:r>
    </w:p>
    <w:p w:rsidR="005E0208" w:rsidRPr="00095CDB" w:rsidRDefault="005E0208" w:rsidP="00993CB0">
      <w:pPr>
        <w:jc w:val="both"/>
        <w:rPr>
          <w:rFonts w:ascii="Arial" w:hAnsi="Arial" w:cs="Arial"/>
          <w:b/>
          <w:bCs/>
          <w:sz w:val="20"/>
          <w:szCs w:val="20"/>
          <w:lang w:val="en-US"/>
        </w:rPr>
      </w:pPr>
    </w:p>
    <w:p w:rsidR="005E0208" w:rsidRPr="00095CDB" w:rsidRDefault="005E0208" w:rsidP="00993CB0">
      <w:pPr>
        <w:jc w:val="both"/>
        <w:rPr>
          <w:rFonts w:ascii="Arial" w:hAnsi="Arial" w:cs="Arial"/>
          <w:b/>
          <w:bCs/>
          <w:sz w:val="20"/>
          <w:szCs w:val="20"/>
          <w:lang w:val="en-US"/>
        </w:rPr>
      </w:pPr>
      <w:r>
        <w:rPr>
          <w:rFonts w:ascii="Arial" w:hAnsi="Arial" w:cs="Arial"/>
          <w:b/>
          <w:bCs/>
          <w:sz w:val="20"/>
          <w:szCs w:val="20"/>
          <w:lang w:val="en-US"/>
        </w:rPr>
        <w:t>The group also discussed supplementary indicators as proposed in 8.2 of the document.</w:t>
      </w:r>
    </w:p>
    <w:p w:rsidR="005E0208" w:rsidRPr="00095CDB" w:rsidRDefault="005E0208" w:rsidP="00FB7B56">
      <w:pPr>
        <w:jc w:val="both"/>
        <w:rPr>
          <w:rFonts w:ascii="Arial" w:hAnsi="Arial" w:cs="Arial"/>
          <w:sz w:val="20"/>
          <w:szCs w:val="20"/>
          <w:lang w:val="en-US"/>
        </w:rPr>
      </w:pPr>
      <w:r w:rsidRPr="00A01896">
        <w:rPr>
          <w:rFonts w:ascii="Arial" w:hAnsi="Arial" w:cs="Arial"/>
          <w:sz w:val="20"/>
          <w:szCs w:val="20"/>
          <w:lang w:val="en-US"/>
        </w:rPr>
        <w:t xml:space="preserve">The main outcomes of the discussion </w:t>
      </w:r>
      <w:r w:rsidRPr="00095CDB">
        <w:rPr>
          <w:rFonts w:ascii="Arial" w:hAnsi="Arial" w:cs="Arial"/>
          <w:sz w:val="20"/>
          <w:szCs w:val="20"/>
          <w:lang w:val="en-US"/>
        </w:rPr>
        <w:t>were</w:t>
      </w:r>
      <w:r w:rsidRPr="00A01896">
        <w:rPr>
          <w:rFonts w:ascii="Arial" w:hAnsi="Arial" w:cs="Arial"/>
          <w:sz w:val="20"/>
          <w:szCs w:val="20"/>
          <w:lang w:val="en-US"/>
        </w:rPr>
        <w:t>:</w:t>
      </w:r>
    </w:p>
    <w:p w:rsidR="005E0208" w:rsidRPr="00095CDB" w:rsidRDefault="005E0208" w:rsidP="00FB7B56">
      <w:pPr>
        <w:jc w:val="both"/>
        <w:rPr>
          <w:rFonts w:ascii="Arial" w:hAnsi="Arial" w:cs="Arial"/>
          <w:sz w:val="20"/>
          <w:szCs w:val="20"/>
          <w:lang w:val="en-GB"/>
        </w:rPr>
      </w:pPr>
      <w:r w:rsidRPr="00A01896">
        <w:rPr>
          <w:rFonts w:ascii="Arial" w:hAnsi="Arial" w:cs="Arial"/>
          <w:sz w:val="20"/>
          <w:szCs w:val="20"/>
          <w:lang w:val="en-US"/>
        </w:rPr>
        <w:t xml:space="preserve">The indicator on </w:t>
      </w:r>
      <w:r w:rsidRPr="00A01896">
        <w:rPr>
          <w:rFonts w:ascii="Arial" w:hAnsi="Arial" w:cs="Arial"/>
          <w:sz w:val="20"/>
          <w:szCs w:val="20"/>
          <w:lang w:val="en-GB"/>
        </w:rPr>
        <w:t xml:space="preserve">socio-economic background is relevant, but other issues such as gender, disabilities, migrants, should be included as well. Eurostudent will look at this. </w:t>
      </w:r>
    </w:p>
    <w:p w:rsidR="005E0208" w:rsidRPr="00095CDB" w:rsidRDefault="005E0208" w:rsidP="00FB7B56">
      <w:pPr>
        <w:jc w:val="both"/>
        <w:rPr>
          <w:rFonts w:ascii="Arial" w:hAnsi="Arial" w:cs="Arial"/>
          <w:sz w:val="20"/>
          <w:szCs w:val="20"/>
          <w:lang w:val="en-GB"/>
        </w:rPr>
      </w:pPr>
      <w:r w:rsidRPr="00A01896">
        <w:rPr>
          <w:rFonts w:ascii="Arial" w:hAnsi="Arial" w:cs="Arial"/>
          <w:sz w:val="20"/>
          <w:szCs w:val="20"/>
          <w:lang w:val="en-GB"/>
        </w:rPr>
        <w:t>It was suggested that private and social returns of mobility should be measured. It may be difficult to gather data. Eurostudent and DAAD volunteer to take a look at the issue and come up with a proposal.</w:t>
      </w:r>
    </w:p>
    <w:p w:rsidR="005E0208" w:rsidRPr="00095CDB" w:rsidRDefault="005E0208" w:rsidP="00FB7B56">
      <w:pPr>
        <w:jc w:val="both"/>
        <w:rPr>
          <w:rFonts w:ascii="Arial" w:hAnsi="Arial" w:cs="Arial"/>
          <w:sz w:val="20"/>
          <w:szCs w:val="20"/>
          <w:lang w:val="en-GB"/>
        </w:rPr>
      </w:pPr>
      <w:r w:rsidRPr="00A01896">
        <w:rPr>
          <w:rFonts w:ascii="Arial" w:hAnsi="Arial" w:cs="Arial"/>
          <w:sz w:val="20"/>
          <w:szCs w:val="20"/>
          <w:lang w:val="en-GB"/>
        </w:rPr>
        <w:t>An indicator that measures the balance between inbound and outbound mobility is considered necessary. In the discussion the group points out that different kinds of mobility (e.g. 1 student for 10 months, 1 student for 2 weeks) are compared. Data collectors will think about this.</w:t>
      </w:r>
    </w:p>
    <w:p w:rsidR="005E0208" w:rsidRPr="00095CDB" w:rsidRDefault="005E0208" w:rsidP="00FB7B56">
      <w:pPr>
        <w:jc w:val="both"/>
        <w:rPr>
          <w:rFonts w:ascii="Arial" w:hAnsi="Arial" w:cs="Arial"/>
          <w:sz w:val="20"/>
          <w:szCs w:val="20"/>
          <w:lang w:val="en-GB"/>
        </w:rPr>
      </w:pPr>
      <w:r w:rsidRPr="00A01896">
        <w:rPr>
          <w:rFonts w:ascii="Arial" w:hAnsi="Arial" w:cs="Arial"/>
          <w:sz w:val="20"/>
          <w:szCs w:val="20"/>
          <w:lang w:val="en-GB"/>
        </w:rPr>
        <w:t xml:space="preserve">The need for data on staff mobility is underlined. Data collectors will try to collect some data as exercise. If we only take Erasmus data, it is possible to measure staff mobility, but this is only partial data. It is worthwhile to start investigating. </w:t>
      </w:r>
    </w:p>
    <w:p w:rsidR="005E0208" w:rsidRPr="00095CDB" w:rsidRDefault="005E0208" w:rsidP="00FB7B56">
      <w:pPr>
        <w:jc w:val="both"/>
        <w:rPr>
          <w:rFonts w:ascii="Arial" w:hAnsi="Arial" w:cs="Arial"/>
          <w:sz w:val="20"/>
          <w:szCs w:val="20"/>
          <w:lang w:val="en-GB"/>
        </w:rPr>
      </w:pPr>
      <w:r w:rsidRPr="00A01896">
        <w:rPr>
          <w:rFonts w:ascii="Arial" w:hAnsi="Arial" w:cs="Arial"/>
          <w:sz w:val="20"/>
          <w:szCs w:val="20"/>
          <w:lang w:val="en-GB"/>
        </w:rPr>
        <w:t>The group will discuss the more detailed proposals for supplementary indicators in November. If the data collectors need some information earlier, they will contact the group. In the meantime, comments to the data collectors on the supplementary indicators are welcome.</w:t>
      </w:r>
    </w:p>
    <w:p w:rsidR="005E0208" w:rsidRPr="00095CDB" w:rsidRDefault="005E0208" w:rsidP="00993CB0">
      <w:pPr>
        <w:jc w:val="both"/>
        <w:rPr>
          <w:rFonts w:ascii="Arial" w:hAnsi="Arial" w:cs="Arial"/>
          <w:b/>
          <w:bCs/>
          <w:sz w:val="20"/>
          <w:szCs w:val="20"/>
          <w:lang w:val="en-US"/>
        </w:rPr>
      </w:pPr>
    </w:p>
    <w:p w:rsidR="005E0208" w:rsidRPr="00095CDB" w:rsidRDefault="005E0208" w:rsidP="00993CB0">
      <w:pPr>
        <w:jc w:val="both"/>
        <w:rPr>
          <w:rFonts w:ascii="Arial" w:hAnsi="Arial" w:cs="Arial"/>
          <w:b/>
          <w:bCs/>
          <w:sz w:val="20"/>
          <w:szCs w:val="20"/>
          <w:lang w:val="en-US"/>
        </w:rPr>
      </w:pPr>
      <w:r>
        <w:rPr>
          <w:rFonts w:ascii="Arial" w:hAnsi="Arial" w:cs="Arial"/>
          <w:b/>
          <w:bCs/>
          <w:sz w:val="20"/>
          <w:szCs w:val="20"/>
          <w:lang w:val="en-US"/>
        </w:rPr>
        <w:t xml:space="preserve">13:15 </w:t>
      </w:r>
      <w:r>
        <w:rPr>
          <w:rFonts w:ascii="Arial" w:hAnsi="Arial" w:cs="Arial"/>
          <w:b/>
          <w:bCs/>
          <w:sz w:val="20"/>
          <w:szCs w:val="20"/>
          <w:lang w:val="en-GB"/>
        </w:rPr>
        <w:t>–</w:t>
      </w:r>
      <w:r>
        <w:rPr>
          <w:rFonts w:ascii="Arial" w:hAnsi="Arial" w:cs="Arial"/>
          <w:b/>
          <w:bCs/>
          <w:sz w:val="20"/>
          <w:szCs w:val="20"/>
          <w:lang w:val="en-US"/>
        </w:rPr>
        <w:t xml:space="preserve"> 14:45</w:t>
      </w:r>
      <w:r>
        <w:rPr>
          <w:rFonts w:ascii="Arial" w:hAnsi="Arial" w:cs="Arial"/>
          <w:b/>
          <w:bCs/>
          <w:sz w:val="20"/>
          <w:szCs w:val="20"/>
          <w:lang w:val="en-US"/>
        </w:rPr>
        <w:tab/>
      </w:r>
      <w:r>
        <w:rPr>
          <w:rFonts w:ascii="Arial" w:hAnsi="Arial" w:cs="Arial"/>
          <w:b/>
          <w:bCs/>
          <w:sz w:val="20"/>
          <w:szCs w:val="20"/>
          <w:lang w:val="en-US"/>
        </w:rPr>
        <w:tab/>
        <w:t>Work plan 2010-2012</w:t>
      </w:r>
    </w:p>
    <w:p w:rsidR="005E0208" w:rsidRPr="00095CDB" w:rsidRDefault="005E0208" w:rsidP="00993CB0">
      <w:pPr>
        <w:jc w:val="both"/>
        <w:rPr>
          <w:rFonts w:ascii="Arial" w:hAnsi="Arial" w:cs="Arial"/>
          <w:sz w:val="20"/>
          <w:szCs w:val="20"/>
          <w:lang w:val="en-US"/>
        </w:rPr>
      </w:pPr>
      <w:r>
        <w:rPr>
          <w:rFonts w:ascii="Arial" w:hAnsi="Arial" w:cs="Arial"/>
          <w:sz w:val="20"/>
          <w:szCs w:val="20"/>
          <w:lang w:val="en-US"/>
        </w:rPr>
        <w:t xml:space="preserve">The chair introduces into the topic by pointing out that the group should profit from former work, in particular the results of the former working group and the EU green paper on Mobility, and use and integrate the work where possible </w:t>
      </w:r>
    </w:p>
    <w:p w:rsidR="005E0208" w:rsidRPr="00095CDB" w:rsidRDefault="005E0208" w:rsidP="00993CB0">
      <w:pPr>
        <w:jc w:val="both"/>
        <w:rPr>
          <w:rFonts w:ascii="Arial" w:hAnsi="Arial" w:cs="Arial"/>
          <w:sz w:val="20"/>
          <w:szCs w:val="20"/>
          <w:lang w:val="en-US"/>
        </w:rPr>
      </w:pPr>
      <w:r>
        <w:rPr>
          <w:rFonts w:ascii="Arial" w:hAnsi="Arial" w:cs="Arial"/>
          <w:sz w:val="20"/>
          <w:szCs w:val="20"/>
          <w:lang w:val="en-US"/>
        </w:rPr>
        <w:t>In order to develop a mobility strategy, he proposes that all members of the group should come up with proposals of problems related to mobility and possible solutions in a kind of brainstorming exercise. In a next step, the items mentioned will be grouped, and working papers on the issues mentioned shall be developed by the various members of the group.</w:t>
      </w:r>
    </w:p>
    <w:p w:rsidR="005E0208" w:rsidRPr="00095CDB" w:rsidRDefault="005E0208" w:rsidP="00993CB0">
      <w:pPr>
        <w:jc w:val="both"/>
        <w:rPr>
          <w:rFonts w:ascii="Arial" w:hAnsi="Arial" w:cs="Arial"/>
          <w:sz w:val="20"/>
          <w:szCs w:val="20"/>
          <w:lang w:val="en-US"/>
        </w:rPr>
      </w:pPr>
      <w:r>
        <w:rPr>
          <w:rFonts w:ascii="Arial" w:hAnsi="Arial" w:cs="Arial"/>
          <w:sz w:val="20"/>
          <w:szCs w:val="20"/>
          <w:lang w:val="en-US"/>
        </w:rPr>
        <w:t xml:space="preserve">The strategy that will be proposed in the end should be short and should focus on some central messages to the ministers. It will contain proposals of how to reach the mobility target but will include other proposals as well. In preparing the strategy, the group will focus on issues that can be </w:t>
      </w:r>
      <w:r w:rsidRPr="00A01896">
        <w:rPr>
          <w:rFonts w:ascii="Arial" w:hAnsi="Arial" w:cs="Arial"/>
          <w:sz w:val="20"/>
          <w:szCs w:val="20"/>
          <w:lang w:val="en-GB"/>
        </w:rPr>
        <w:t xml:space="preserve">changed by the ministers, perhaps in consultation with their colleagues in the cabinet. The number of proposals should be limited so that each proposal can be discussed by </w:t>
      </w:r>
      <w:r>
        <w:rPr>
          <w:rFonts w:ascii="Arial" w:hAnsi="Arial" w:cs="Arial"/>
          <w:sz w:val="20"/>
          <w:szCs w:val="20"/>
          <w:lang w:val="en-US"/>
        </w:rPr>
        <w:t xml:space="preserve">BFUG. </w:t>
      </w:r>
    </w:p>
    <w:p w:rsidR="005E0208" w:rsidRPr="00095CDB" w:rsidRDefault="005E0208" w:rsidP="00993CB0">
      <w:pPr>
        <w:jc w:val="both"/>
        <w:rPr>
          <w:rFonts w:ascii="Arial" w:hAnsi="Arial" w:cs="Arial"/>
          <w:sz w:val="20"/>
          <w:szCs w:val="20"/>
          <w:lang w:val="en-US"/>
        </w:rPr>
      </w:pPr>
      <w:r>
        <w:rPr>
          <w:rFonts w:ascii="Arial" w:hAnsi="Arial" w:cs="Arial"/>
          <w:sz w:val="20"/>
          <w:szCs w:val="20"/>
          <w:lang w:val="en-US"/>
        </w:rPr>
        <w:t>As a second input to the strategy, it is proposed that the working group develops a questionnaire to the BFUG members on mobility obstacles, good practice examples for increasing mobility and for encouraging a balanced flow of mobility. Depending on content and time tables this work might be coordinated with the stocktaking and/or Eurydice questionnaire,</w:t>
      </w:r>
    </w:p>
    <w:p w:rsidR="005E0208" w:rsidRPr="00095CDB" w:rsidRDefault="005E0208" w:rsidP="00993CB0">
      <w:pPr>
        <w:jc w:val="both"/>
        <w:rPr>
          <w:rFonts w:ascii="Arial" w:hAnsi="Arial" w:cs="Arial"/>
          <w:sz w:val="20"/>
          <w:szCs w:val="20"/>
          <w:lang w:val="en-GB"/>
        </w:rPr>
      </w:pPr>
      <w:r>
        <w:rPr>
          <w:rFonts w:ascii="Arial" w:hAnsi="Arial" w:cs="Arial"/>
          <w:sz w:val="20"/>
          <w:szCs w:val="20"/>
          <w:lang w:val="en-US"/>
        </w:rPr>
        <w:t>The group agrees, that f</w:t>
      </w:r>
      <w:r>
        <w:rPr>
          <w:rFonts w:ascii="Arial" w:hAnsi="Arial" w:cs="Arial"/>
          <w:sz w:val="20"/>
          <w:szCs w:val="20"/>
          <w:lang w:val="en-GB"/>
        </w:rPr>
        <w:t xml:space="preserve">or the next meeting of the working group, DAAD will analyse the information available on mobility obstacles and good practice and will make a first draft of a questionnaire. The draft version will be sent to the members of the working group end of February. Members will have time to react and decide in the April/May and decide if it is necessary to have a questionnaire or not, and if so, with which questions. Relation to the stocktaking (and Eurydice) will be investigated. </w:t>
      </w:r>
    </w:p>
    <w:p w:rsidR="005E0208" w:rsidRPr="00095CDB" w:rsidRDefault="005E0208" w:rsidP="00993CB0">
      <w:pPr>
        <w:jc w:val="both"/>
        <w:rPr>
          <w:rFonts w:ascii="Arial" w:hAnsi="Arial" w:cs="Arial"/>
          <w:sz w:val="20"/>
          <w:szCs w:val="20"/>
          <w:lang w:val="en-GB"/>
        </w:rPr>
      </w:pPr>
      <w:r w:rsidRPr="00A01896">
        <w:rPr>
          <w:rFonts w:ascii="Arial" w:hAnsi="Arial" w:cs="Arial"/>
          <w:sz w:val="20"/>
          <w:szCs w:val="20"/>
          <w:lang w:val="en-GB"/>
        </w:rPr>
        <w:t xml:space="preserve">The group agrees that </w:t>
      </w:r>
    </w:p>
    <w:p w:rsidR="005E0208" w:rsidRDefault="005E0208">
      <w:pPr>
        <w:pStyle w:val="ListParagraph"/>
        <w:numPr>
          <w:ilvl w:val="0"/>
          <w:numId w:val="15"/>
        </w:numPr>
        <w:jc w:val="both"/>
        <w:rPr>
          <w:rFonts w:ascii="Arial" w:hAnsi="Arial" w:cs="Arial"/>
          <w:sz w:val="20"/>
          <w:szCs w:val="20"/>
          <w:lang w:val="en-GB"/>
        </w:rPr>
      </w:pPr>
      <w:r w:rsidRPr="00A01896">
        <w:rPr>
          <w:rFonts w:ascii="Arial" w:hAnsi="Arial" w:cs="Arial"/>
          <w:sz w:val="20"/>
          <w:szCs w:val="20"/>
          <w:lang w:val="en-GB"/>
        </w:rPr>
        <w:t>All BFUG members will be asked to give the relevant and up-to-date information/studies on mobility issues that are available by 15</w:t>
      </w:r>
      <w:r w:rsidRPr="00A01896">
        <w:rPr>
          <w:rFonts w:ascii="Arial" w:hAnsi="Arial" w:cs="Arial"/>
          <w:sz w:val="20"/>
          <w:szCs w:val="20"/>
          <w:vertAlign w:val="superscript"/>
          <w:lang w:val="en-GB"/>
        </w:rPr>
        <w:t>th</w:t>
      </w:r>
      <w:r w:rsidRPr="00A01896">
        <w:rPr>
          <w:rFonts w:ascii="Arial" w:hAnsi="Arial" w:cs="Arial"/>
          <w:sz w:val="20"/>
          <w:szCs w:val="20"/>
          <w:lang w:val="en-GB"/>
        </w:rPr>
        <w:t xml:space="preserve"> February.. </w:t>
      </w:r>
    </w:p>
    <w:p w:rsidR="005E0208" w:rsidRDefault="005E0208">
      <w:pPr>
        <w:pStyle w:val="ListParagraph"/>
        <w:numPr>
          <w:ilvl w:val="0"/>
          <w:numId w:val="15"/>
        </w:numPr>
        <w:jc w:val="both"/>
        <w:rPr>
          <w:rFonts w:ascii="Arial" w:hAnsi="Arial" w:cs="Arial"/>
          <w:sz w:val="20"/>
          <w:szCs w:val="20"/>
          <w:lang w:val="en-GB"/>
        </w:rPr>
      </w:pPr>
      <w:r w:rsidRPr="00A01896">
        <w:rPr>
          <w:rFonts w:ascii="Arial" w:hAnsi="Arial" w:cs="Arial"/>
          <w:sz w:val="20"/>
          <w:szCs w:val="20"/>
          <w:lang w:val="en-GB"/>
        </w:rPr>
        <w:t>All working group members will be asked for a short description of a problem and a solution concerning mobility (end of February/beginning of March).</w:t>
      </w:r>
    </w:p>
    <w:p w:rsidR="005E0208" w:rsidRPr="00095CDB" w:rsidRDefault="005E0208" w:rsidP="00993CB0">
      <w:pPr>
        <w:jc w:val="both"/>
        <w:rPr>
          <w:rFonts w:ascii="Arial" w:hAnsi="Arial" w:cs="Arial"/>
          <w:sz w:val="20"/>
          <w:szCs w:val="20"/>
          <w:lang w:val="en-GB"/>
        </w:rPr>
      </w:pPr>
      <w:r w:rsidRPr="00A01896">
        <w:rPr>
          <w:rFonts w:ascii="Arial" w:hAnsi="Arial" w:cs="Arial"/>
          <w:sz w:val="20"/>
          <w:szCs w:val="20"/>
          <w:lang w:val="en-GB"/>
        </w:rPr>
        <w:t>The Bologna Secretariat will send out both questions.</w:t>
      </w:r>
    </w:p>
    <w:p w:rsidR="005E0208" w:rsidRPr="00095CDB" w:rsidRDefault="005E0208" w:rsidP="00993CB0">
      <w:pPr>
        <w:jc w:val="both"/>
        <w:rPr>
          <w:rFonts w:ascii="Arial" w:hAnsi="Arial" w:cs="Arial"/>
          <w:sz w:val="20"/>
          <w:szCs w:val="20"/>
          <w:lang w:val="en-GB"/>
        </w:rPr>
      </w:pPr>
    </w:p>
    <w:p w:rsidR="005E0208" w:rsidRPr="00095CDB" w:rsidRDefault="005E0208" w:rsidP="00993CB0">
      <w:pPr>
        <w:jc w:val="both"/>
        <w:rPr>
          <w:rFonts w:ascii="Arial" w:hAnsi="Arial" w:cs="Arial"/>
          <w:b/>
          <w:bCs/>
          <w:sz w:val="20"/>
          <w:szCs w:val="20"/>
          <w:lang w:val="en-US"/>
        </w:rPr>
      </w:pPr>
      <w:r w:rsidRPr="00095CDB">
        <w:rPr>
          <w:rFonts w:ascii="Arial" w:hAnsi="Arial" w:cs="Arial"/>
          <w:b/>
          <w:bCs/>
          <w:sz w:val="20"/>
          <w:szCs w:val="20"/>
          <w:lang w:val="en-US"/>
        </w:rPr>
        <w:t xml:space="preserve">14:45 </w:t>
      </w:r>
      <w:r w:rsidRPr="00095CDB">
        <w:rPr>
          <w:rFonts w:ascii="Arial" w:hAnsi="Arial" w:cs="Arial"/>
          <w:b/>
          <w:bCs/>
          <w:sz w:val="20"/>
          <w:szCs w:val="20"/>
          <w:lang w:val="en-GB"/>
        </w:rPr>
        <w:t>–</w:t>
      </w:r>
      <w:r w:rsidRPr="00095CDB">
        <w:rPr>
          <w:rFonts w:ascii="Arial" w:hAnsi="Arial" w:cs="Arial"/>
          <w:b/>
          <w:bCs/>
          <w:sz w:val="20"/>
          <w:szCs w:val="20"/>
          <w:lang w:val="en-US"/>
        </w:rPr>
        <w:t xml:space="preserve"> 15:45</w:t>
      </w:r>
      <w:r w:rsidRPr="00095CDB">
        <w:rPr>
          <w:rFonts w:ascii="Arial" w:hAnsi="Arial" w:cs="Arial"/>
          <w:b/>
          <w:bCs/>
          <w:sz w:val="20"/>
          <w:szCs w:val="20"/>
          <w:lang w:val="en-US"/>
        </w:rPr>
        <w:tab/>
      </w:r>
      <w:r w:rsidRPr="00095CDB">
        <w:rPr>
          <w:rFonts w:ascii="Arial" w:hAnsi="Arial" w:cs="Arial"/>
          <w:b/>
          <w:bCs/>
          <w:sz w:val="20"/>
          <w:szCs w:val="20"/>
          <w:lang w:val="en-US"/>
        </w:rPr>
        <w:tab/>
        <w:t>first ideas on the issue of balanced mobility</w:t>
      </w:r>
    </w:p>
    <w:p w:rsidR="005E0208" w:rsidRPr="00095CDB" w:rsidRDefault="005E0208" w:rsidP="00993CB0">
      <w:pPr>
        <w:jc w:val="both"/>
        <w:rPr>
          <w:rFonts w:ascii="Arial" w:hAnsi="Arial" w:cs="Arial"/>
          <w:b/>
          <w:bCs/>
          <w:i/>
          <w:iCs/>
          <w:sz w:val="20"/>
          <w:szCs w:val="20"/>
          <w:lang w:val="en-US"/>
        </w:rPr>
      </w:pPr>
      <w:r>
        <w:rPr>
          <w:rFonts w:ascii="Arial" w:hAnsi="Arial" w:cs="Arial"/>
          <w:b/>
          <w:bCs/>
          <w:i/>
          <w:iCs/>
          <w:sz w:val="20"/>
          <w:szCs w:val="20"/>
          <w:lang w:val="en-US"/>
        </w:rPr>
        <w:tab/>
      </w:r>
      <w:r>
        <w:rPr>
          <w:rFonts w:ascii="Arial" w:hAnsi="Arial" w:cs="Arial"/>
          <w:b/>
          <w:bCs/>
          <w:i/>
          <w:iCs/>
          <w:sz w:val="20"/>
          <w:szCs w:val="20"/>
          <w:lang w:val="en-US"/>
        </w:rPr>
        <w:tab/>
      </w:r>
      <w:r>
        <w:rPr>
          <w:rFonts w:ascii="Arial" w:hAnsi="Arial" w:cs="Arial"/>
          <w:b/>
          <w:bCs/>
          <w:i/>
          <w:iCs/>
          <w:sz w:val="20"/>
          <w:szCs w:val="20"/>
          <w:lang w:val="en-US"/>
        </w:rPr>
        <w:tab/>
        <w:t>Input: non paper on balanced mobility</w:t>
      </w:r>
    </w:p>
    <w:p w:rsidR="005E0208" w:rsidRPr="00095CDB" w:rsidRDefault="005E0208" w:rsidP="00993CB0">
      <w:pPr>
        <w:jc w:val="both"/>
        <w:rPr>
          <w:rFonts w:ascii="Arial" w:hAnsi="Arial" w:cs="Arial"/>
          <w:sz w:val="20"/>
          <w:szCs w:val="20"/>
          <w:lang w:val="en-US"/>
        </w:rPr>
      </w:pPr>
      <w:r>
        <w:rPr>
          <w:rFonts w:ascii="Arial" w:hAnsi="Arial" w:cs="Arial"/>
          <w:sz w:val="20"/>
          <w:szCs w:val="20"/>
          <w:lang w:val="en-US"/>
        </w:rPr>
        <w:t>As an introduction to the topic of balanced mobility the group mentioned some of the issues that will have to be discussed.:Issues mentioned were</w:t>
      </w:r>
    </w:p>
    <w:p w:rsidR="005E0208" w:rsidRDefault="005E0208" w:rsidP="00993CB0">
      <w:pPr>
        <w:jc w:val="both"/>
        <w:rPr>
          <w:rFonts w:ascii="Arial" w:hAnsi="Arial" w:cs="Arial"/>
          <w:sz w:val="20"/>
          <w:szCs w:val="20"/>
          <w:lang w:val="en-US"/>
        </w:rPr>
      </w:pPr>
      <w:r>
        <w:rPr>
          <w:rFonts w:ascii="Arial" w:hAnsi="Arial" w:cs="Arial"/>
          <w:sz w:val="20"/>
          <w:szCs w:val="20"/>
          <w:lang w:val="en-US"/>
        </w:rPr>
        <w:t>Is balanced mobility desirable? What are the reasons for and chances of imbalances? Sometimes imbalance has nothing to do with preferences, but with obstacles for mobility in some countries. There is an imbalance between east and west, between north and south. One answer to imbalance is being more competitive. The problem is not only the quality of the HE, but language problems are an important factor, as well as communication/marketing. It is also very difficult to interfere in the motivation of students. Differences can be observed depending on the programme you look at: Erasmus or free mover or worldwide mobility. Also within countries there might be mobility imbalances: Spain, Germany, Belgium were cited as examples. Finally, b</w:t>
      </w:r>
      <w:r w:rsidRPr="00AD2359">
        <w:rPr>
          <w:rFonts w:ascii="Arial" w:hAnsi="Arial" w:cs="Arial"/>
          <w:sz w:val="20"/>
          <w:szCs w:val="20"/>
          <w:lang w:val="en-US"/>
        </w:rPr>
        <w:t>rai</w:t>
      </w:r>
      <w:r>
        <w:rPr>
          <w:rFonts w:ascii="Arial" w:hAnsi="Arial" w:cs="Arial"/>
          <w:sz w:val="20"/>
          <w:szCs w:val="20"/>
          <w:lang w:val="en-US"/>
        </w:rPr>
        <w:t>n drain and brain circulation are also</w:t>
      </w:r>
      <w:r w:rsidRPr="00AD2359">
        <w:rPr>
          <w:rFonts w:ascii="Arial" w:hAnsi="Arial" w:cs="Arial"/>
          <w:sz w:val="20"/>
          <w:szCs w:val="20"/>
          <w:lang w:val="en-US"/>
        </w:rPr>
        <w:t xml:space="preserve"> important issue</w:t>
      </w:r>
      <w:r>
        <w:rPr>
          <w:rFonts w:ascii="Arial" w:hAnsi="Arial" w:cs="Arial"/>
          <w:sz w:val="20"/>
          <w:szCs w:val="20"/>
          <w:lang w:val="en-US"/>
        </w:rPr>
        <w:t>s</w:t>
      </w:r>
      <w:r w:rsidRPr="00AD2359">
        <w:rPr>
          <w:rFonts w:ascii="Arial" w:hAnsi="Arial" w:cs="Arial"/>
          <w:sz w:val="20"/>
          <w:szCs w:val="20"/>
          <w:lang w:val="en-US"/>
        </w:rPr>
        <w:t xml:space="preserve"> to look at. </w:t>
      </w:r>
    </w:p>
    <w:p w:rsidR="005E0208" w:rsidRPr="00AD2359" w:rsidRDefault="005E0208" w:rsidP="00993CB0">
      <w:pPr>
        <w:jc w:val="both"/>
        <w:rPr>
          <w:rFonts w:ascii="Arial" w:hAnsi="Arial" w:cs="Arial"/>
          <w:sz w:val="20"/>
          <w:szCs w:val="20"/>
          <w:lang w:val="en-US"/>
        </w:rPr>
      </w:pPr>
      <w:r>
        <w:rPr>
          <w:rFonts w:ascii="Arial" w:hAnsi="Arial" w:cs="Arial"/>
          <w:sz w:val="20"/>
          <w:szCs w:val="20"/>
          <w:lang w:val="en-US"/>
        </w:rPr>
        <w:t xml:space="preserve">Discussion on balanced mobility will be continued in future meetings of the group. </w:t>
      </w:r>
    </w:p>
    <w:p w:rsidR="005E0208" w:rsidRPr="00AD2359" w:rsidRDefault="005E0208" w:rsidP="00993CB0">
      <w:pPr>
        <w:jc w:val="both"/>
        <w:rPr>
          <w:rFonts w:ascii="Arial" w:hAnsi="Arial" w:cs="Arial"/>
          <w:b/>
          <w:bCs/>
          <w:sz w:val="20"/>
          <w:szCs w:val="20"/>
          <w:lang w:val="en-US"/>
        </w:rPr>
      </w:pPr>
      <w:r w:rsidRPr="00AD2359">
        <w:rPr>
          <w:rFonts w:ascii="Arial" w:hAnsi="Arial" w:cs="Arial"/>
          <w:b/>
          <w:bCs/>
          <w:sz w:val="20"/>
          <w:szCs w:val="20"/>
          <w:lang w:val="en-US"/>
        </w:rPr>
        <w:t xml:space="preserve">15:45 </w:t>
      </w:r>
      <w:r w:rsidRPr="00AD2359">
        <w:rPr>
          <w:rFonts w:ascii="Arial" w:hAnsi="Arial" w:cs="Arial"/>
          <w:b/>
          <w:bCs/>
          <w:sz w:val="20"/>
          <w:szCs w:val="20"/>
          <w:lang w:val="en-GB"/>
        </w:rPr>
        <w:t>–</w:t>
      </w:r>
      <w:r w:rsidRPr="00AD2359">
        <w:rPr>
          <w:rFonts w:ascii="Arial" w:hAnsi="Arial" w:cs="Arial"/>
          <w:b/>
          <w:bCs/>
          <w:sz w:val="20"/>
          <w:szCs w:val="20"/>
          <w:lang w:val="en-US"/>
        </w:rPr>
        <w:t xml:space="preserve"> 16:00</w:t>
      </w:r>
      <w:r w:rsidRPr="00AD2359">
        <w:rPr>
          <w:rFonts w:ascii="Arial" w:hAnsi="Arial" w:cs="Arial"/>
          <w:b/>
          <w:bCs/>
          <w:sz w:val="20"/>
          <w:szCs w:val="20"/>
          <w:lang w:val="en-US"/>
        </w:rPr>
        <w:tab/>
      </w:r>
      <w:r w:rsidRPr="00AD2359">
        <w:rPr>
          <w:rFonts w:ascii="Arial" w:hAnsi="Arial" w:cs="Arial"/>
          <w:b/>
          <w:bCs/>
          <w:sz w:val="20"/>
          <w:szCs w:val="20"/>
          <w:lang w:val="en-US"/>
        </w:rPr>
        <w:tab/>
        <w:t>any other business</w:t>
      </w:r>
    </w:p>
    <w:p w:rsidR="005E0208" w:rsidRPr="00B140F7" w:rsidRDefault="005E0208" w:rsidP="00B140F7">
      <w:pPr>
        <w:jc w:val="both"/>
        <w:rPr>
          <w:rFonts w:ascii="Arial" w:hAnsi="Arial" w:cs="Arial"/>
          <w:b/>
          <w:bCs/>
          <w:color w:val="000000"/>
          <w:sz w:val="20"/>
          <w:szCs w:val="20"/>
          <w:lang w:val="en-GB"/>
        </w:rPr>
      </w:pPr>
      <w:r w:rsidRPr="00B140F7">
        <w:rPr>
          <w:rFonts w:ascii="Arial" w:hAnsi="Arial" w:cs="Arial"/>
          <w:b/>
          <w:bCs/>
          <w:color w:val="000000"/>
          <w:sz w:val="20"/>
          <w:szCs w:val="20"/>
          <w:lang w:val="en-GB"/>
        </w:rPr>
        <w:t xml:space="preserve">Dates working group meetings: </w:t>
      </w:r>
    </w:p>
    <w:p w:rsidR="005E0208" w:rsidRPr="00C36326" w:rsidRDefault="005E0208" w:rsidP="00B140F7">
      <w:pPr>
        <w:jc w:val="both"/>
        <w:rPr>
          <w:rFonts w:ascii="Arial" w:hAnsi="Arial" w:cs="Arial"/>
          <w:b/>
          <w:bCs/>
          <w:color w:val="000000"/>
          <w:sz w:val="20"/>
          <w:szCs w:val="20"/>
        </w:rPr>
      </w:pPr>
      <w:r w:rsidRPr="00C36326">
        <w:rPr>
          <w:rFonts w:ascii="Arial" w:hAnsi="Arial" w:cs="Arial"/>
          <w:b/>
          <w:bCs/>
          <w:color w:val="000000"/>
          <w:sz w:val="20"/>
          <w:szCs w:val="20"/>
        </w:rPr>
        <w:t>- 12/05/10: 9.00h-16.00h, Berlin</w:t>
      </w:r>
    </w:p>
    <w:p w:rsidR="005E0208" w:rsidRPr="00C36326" w:rsidRDefault="005E0208" w:rsidP="00993CB0">
      <w:pPr>
        <w:jc w:val="both"/>
        <w:rPr>
          <w:rFonts w:ascii="Arial" w:hAnsi="Arial" w:cs="Arial"/>
          <w:b/>
          <w:bCs/>
          <w:color w:val="000000"/>
          <w:sz w:val="20"/>
          <w:szCs w:val="20"/>
        </w:rPr>
      </w:pPr>
      <w:r w:rsidRPr="00C36326">
        <w:rPr>
          <w:rFonts w:ascii="Arial" w:hAnsi="Arial" w:cs="Arial"/>
          <w:b/>
          <w:bCs/>
          <w:color w:val="000000"/>
          <w:sz w:val="20"/>
          <w:szCs w:val="20"/>
        </w:rPr>
        <w:t>- 04/11/10: 9.00h-16.00h</w:t>
      </w:r>
      <w:r>
        <w:rPr>
          <w:rFonts w:ascii="Arial" w:hAnsi="Arial" w:cs="Arial"/>
          <w:b/>
          <w:bCs/>
          <w:color w:val="000000"/>
          <w:sz w:val="20"/>
          <w:szCs w:val="20"/>
        </w:rPr>
        <w:t>., Berlin</w:t>
      </w:r>
    </w:p>
    <w:sectPr w:rsidR="005E0208" w:rsidRPr="00C36326" w:rsidSect="00AB45F4">
      <w:headerReference w:type="default" r:id="rId9"/>
      <w:footerReference w:type="default" r:id="rId10"/>
      <w:pgSz w:w="11905" w:h="16838"/>
      <w:pgMar w:top="1416" w:right="1416" w:bottom="1134" w:left="1416" w:header="708" w:footer="708"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208" w:rsidRDefault="005E0208">
      <w:r>
        <w:separator/>
      </w:r>
    </w:p>
  </w:endnote>
  <w:endnote w:type="continuationSeparator" w:id="1">
    <w:p w:rsidR="005E0208" w:rsidRDefault="005E0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08" w:rsidRDefault="005E0208" w:rsidP="004C120B">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5</w:t>
    </w:r>
    <w:r>
      <w:rPr>
        <w:rStyle w:val="PageNumber"/>
        <w:rFonts w:cs="Calibri"/>
      </w:rPr>
      <w:fldChar w:fldCharType="end"/>
    </w:r>
  </w:p>
  <w:p w:rsidR="005E0208" w:rsidRDefault="005E0208" w:rsidP="004C120B">
    <w:pPr>
      <w:tabs>
        <w:tab w:val="center" w:pos="4536"/>
        <w:tab w:val="right" w:pos="9072"/>
      </w:tabs>
      <w:ind w:right="360"/>
      <w:rPr>
        <w:kern w:val="0"/>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208" w:rsidRDefault="005E0208">
      <w:r>
        <w:separator/>
      </w:r>
    </w:p>
  </w:footnote>
  <w:footnote w:type="continuationSeparator" w:id="1">
    <w:p w:rsidR="005E0208" w:rsidRDefault="005E0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208" w:rsidRDefault="005E0208">
    <w:pPr>
      <w:tabs>
        <w:tab w:val="center" w:pos="4536"/>
        <w:tab w:val="right" w:pos="9072"/>
      </w:tabs>
      <w:rPr>
        <w:kern w:val="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62BD24"/>
    <w:lvl w:ilvl="0">
      <w:numFmt w:val="bullet"/>
      <w:lvlText w:val="*"/>
      <w:lvlJc w:val="left"/>
    </w:lvl>
  </w:abstractNum>
  <w:abstractNum w:abstractNumId="1">
    <w:nsid w:val="02E95018"/>
    <w:multiLevelType w:val="hybridMultilevel"/>
    <w:tmpl w:val="D5801CDE"/>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
    <w:nsid w:val="07382D32"/>
    <w:multiLevelType w:val="hybridMultilevel"/>
    <w:tmpl w:val="39F8358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hint="default"/>
      </w:rPr>
    </w:lvl>
    <w:lvl w:ilvl="8" w:tplc="04070005">
      <w:start w:val="1"/>
      <w:numFmt w:val="bullet"/>
      <w:lvlText w:val=""/>
      <w:lvlJc w:val="left"/>
      <w:pPr>
        <w:ind w:left="6828" w:hanging="360"/>
      </w:pPr>
      <w:rPr>
        <w:rFonts w:ascii="Wingdings" w:hAnsi="Wingdings" w:hint="default"/>
      </w:rPr>
    </w:lvl>
  </w:abstractNum>
  <w:abstractNum w:abstractNumId="3">
    <w:nsid w:val="095F375B"/>
    <w:multiLevelType w:val="hybridMultilevel"/>
    <w:tmpl w:val="AFBA0B32"/>
    <w:lvl w:ilvl="0" w:tplc="FB2C5398">
      <w:start w:val="13"/>
      <w:numFmt w:val="bullet"/>
      <w:lvlText w:val="-"/>
      <w:lvlJc w:val="left"/>
      <w:pPr>
        <w:tabs>
          <w:tab w:val="num" w:pos="720"/>
        </w:tabs>
        <w:ind w:left="720" w:hanging="360"/>
      </w:pPr>
      <w:rPr>
        <w:rFonts w:ascii="Garamond" w:eastAsia="Times New Roman" w:hAnsi="Garamond"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nsid w:val="1A2A0342"/>
    <w:multiLevelType w:val="hybridMultilevel"/>
    <w:tmpl w:val="3CFABF02"/>
    <w:lvl w:ilvl="0" w:tplc="FB2C5398">
      <w:start w:val="13"/>
      <w:numFmt w:val="bullet"/>
      <w:lvlText w:val="-"/>
      <w:lvlJc w:val="left"/>
      <w:pPr>
        <w:tabs>
          <w:tab w:val="num" w:pos="720"/>
        </w:tabs>
        <w:ind w:left="720" w:hanging="360"/>
      </w:pPr>
      <w:rPr>
        <w:rFonts w:ascii="Garamond" w:eastAsia="Times New Roman" w:hAnsi="Garamond"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1EDB7B86"/>
    <w:multiLevelType w:val="hybridMultilevel"/>
    <w:tmpl w:val="24A8CADC"/>
    <w:lvl w:ilvl="0" w:tplc="FB2C5398">
      <w:start w:val="13"/>
      <w:numFmt w:val="bullet"/>
      <w:lvlText w:val="-"/>
      <w:lvlJc w:val="left"/>
      <w:pPr>
        <w:tabs>
          <w:tab w:val="num" w:pos="720"/>
        </w:tabs>
        <w:ind w:left="720" w:hanging="360"/>
      </w:pPr>
      <w:rPr>
        <w:rFonts w:ascii="Garamond" w:eastAsia="Times New Roman" w:hAnsi="Garamond"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2C3533B5"/>
    <w:multiLevelType w:val="hybridMultilevel"/>
    <w:tmpl w:val="B406CC34"/>
    <w:lvl w:ilvl="0" w:tplc="9F2E4B4E">
      <w:start w:val="2"/>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3B3E006F"/>
    <w:multiLevelType w:val="hybridMultilevel"/>
    <w:tmpl w:val="908CCF5E"/>
    <w:lvl w:ilvl="0" w:tplc="FB2C5398">
      <w:start w:val="13"/>
      <w:numFmt w:val="bullet"/>
      <w:lvlText w:val="-"/>
      <w:lvlJc w:val="left"/>
      <w:pPr>
        <w:tabs>
          <w:tab w:val="num" w:pos="720"/>
        </w:tabs>
        <w:ind w:left="720" w:hanging="360"/>
      </w:pPr>
      <w:rPr>
        <w:rFonts w:ascii="Garamond" w:eastAsia="Times New Roman" w:hAnsi="Garamond"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nsid w:val="493F2E0C"/>
    <w:multiLevelType w:val="hybridMultilevel"/>
    <w:tmpl w:val="8678343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nsid w:val="51D51CBD"/>
    <w:multiLevelType w:val="hybridMultilevel"/>
    <w:tmpl w:val="45844CD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nsid w:val="53D6748B"/>
    <w:multiLevelType w:val="hybridMultilevel"/>
    <w:tmpl w:val="ACE43B8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5EE12198"/>
    <w:multiLevelType w:val="hybridMultilevel"/>
    <w:tmpl w:val="F5D45BC6"/>
    <w:lvl w:ilvl="0" w:tplc="FB2C5398">
      <w:start w:val="13"/>
      <w:numFmt w:val="bullet"/>
      <w:lvlText w:val="-"/>
      <w:lvlJc w:val="left"/>
      <w:pPr>
        <w:tabs>
          <w:tab w:val="num" w:pos="720"/>
        </w:tabs>
        <w:ind w:left="720" w:hanging="360"/>
      </w:pPr>
      <w:rPr>
        <w:rFonts w:ascii="Garamond" w:eastAsia="Times New Roman" w:hAnsi="Garamond"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5F284D7C"/>
    <w:multiLevelType w:val="hybridMultilevel"/>
    <w:tmpl w:val="B548225C"/>
    <w:lvl w:ilvl="0" w:tplc="9F2E4B4E">
      <w:start w:val="2"/>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6A190572"/>
    <w:multiLevelType w:val="hybridMultilevel"/>
    <w:tmpl w:val="40F6773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14">
    <w:nsid w:val="7223769F"/>
    <w:multiLevelType w:val="hybridMultilevel"/>
    <w:tmpl w:val="D26644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9"/>
  </w:num>
  <w:num w:numId="3">
    <w:abstractNumId w:val="1"/>
  </w:num>
  <w:num w:numId="4">
    <w:abstractNumId w:val="7"/>
  </w:num>
  <w:num w:numId="5">
    <w:abstractNumId w:val="12"/>
  </w:num>
  <w:num w:numId="6">
    <w:abstractNumId w:val="6"/>
  </w:num>
  <w:num w:numId="7">
    <w:abstractNumId w:val="5"/>
  </w:num>
  <w:num w:numId="8">
    <w:abstractNumId w:val="4"/>
  </w:num>
  <w:num w:numId="9">
    <w:abstractNumId w:val="3"/>
  </w:num>
  <w:num w:numId="10">
    <w:abstractNumId w:val="11"/>
  </w:num>
  <w:num w:numId="11">
    <w:abstractNumId w:val="8"/>
  </w:num>
  <w:num w:numId="12">
    <w:abstractNumId w:val="14"/>
  </w:num>
  <w:num w:numId="13">
    <w:abstractNumId w:val="13"/>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w:docVa"/>
    <w:docVar w:name="StylePos" w:val="???????????????????????????????????????????????????????????????????????????"/>
  </w:docVars>
  <w:rsids>
    <w:rsidRoot w:val="00C74329"/>
    <w:rsid w:val="000535EC"/>
    <w:rsid w:val="00063D4F"/>
    <w:rsid w:val="00095CDB"/>
    <w:rsid w:val="000C0DD5"/>
    <w:rsid w:val="000C75F3"/>
    <w:rsid w:val="001438AC"/>
    <w:rsid w:val="0014706E"/>
    <w:rsid w:val="00170144"/>
    <w:rsid w:val="0019065E"/>
    <w:rsid w:val="00192D29"/>
    <w:rsid w:val="0021370F"/>
    <w:rsid w:val="00214165"/>
    <w:rsid w:val="002360B3"/>
    <w:rsid w:val="002445EA"/>
    <w:rsid w:val="002C668E"/>
    <w:rsid w:val="002E188E"/>
    <w:rsid w:val="003129BC"/>
    <w:rsid w:val="0033652F"/>
    <w:rsid w:val="00337DBA"/>
    <w:rsid w:val="003572B9"/>
    <w:rsid w:val="00360F75"/>
    <w:rsid w:val="00396966"/>
    <w:rsid w:val="003B4724"/>
    <w:rsid w:val="003D46FB"/>
    <w:rsid w:val="003F3378"/>
    <w:rsid w:val="0042542B"/>
    <w:rsid w:val="004261EB"/>
    <w:rsid w:val="00454294"/>
    <w:rsid w:val="00495372"/>
    <w:rsid w:val="004C120B"/>
    <w:rsid w:val="004C6010"/>
    <w:rsid w:val="004D44B4"/>
    <w:rsid w:val="00537C6A"/>
    <w:rsid w:val="005526B9"/>
    <w:rsid w:val="0055308C"/>
    <w:rsid w:val="005706AC"/>
    <w:rsid w:val="005C4DB1"/>
    <w:rsid w:val="005C6281"/>
    <w:rsid w:val="005D3F8D"/>
    <w:rsid w:val="005E0208"/>
    <w:rsid w:val="005E419B"/>
    <w:rsid w:val="00617BB2"/>
    <w:rsid w:val="0068542E"/>
    <w:rsid w:val="00694118"/>
    <w:rsid w:val="0073674D"/>
    <w:rsid w:val="0079281A"/>
    <w:rsid w:val="007A292B"/>
    <w:rsid w:val="007C3A20"/>
    <w:rsid w:val="007E0DA5"/>
    <w:rsid w:val="007F121B"/>
    <w:rsid w:val="008C1FDB"/>
    <w:rsid w:val="008D484C"/>
    <w:rsid w:val="008F53A6"/>
    <w:rsid w:val="009106D8"/>
    <w:rsid w:val="00921EFE"/>
    <w:rsid w:val="00927C75"/>
    <w:rsid w:val="00993CB0"/>
    <w:rsid w:val="009A57C0"/>
    <w:rsid w:val="009C7EDE"/>
    <w:rsid w:val="00A01896"/>
    <w:rsid w:val="00A709D0"/>
    <w:rsid w:val="00AB03E3"/>
    <w:rsid w:val="00AB0480"/>
    <w:rsid w:val="00AB1C65"/>
    <w:rsid w:val="00AB45F4"/>
    <w:rsid w:val="00AC6A40"/>
    <w:rsid w:val="00AD1DC5"/>
    <w:rsid w:val="00AD2359"/>
    <w:rsid w:val="00AD2DFC"/>
    <w:rsid w:val="00AD4D64"/>
    <w:rsid w:val="00B043B7"/>
    <w:rsid w:val="00B140F7"/>
    <w:rsid w:val="00B17F93"/>
    <w:rsid w:val="00B35A80"/>
    <w:rsid w:val="00B37D27"/>
    <w:rsid w:val="00B47AEA"/>
    <w:rsid w:val="00B575B0"/>
    <w:rsid w:val="00B579AB"/>
    <w:rsid w:val="00B60C3D"/>
    <w:rsid w:val="00B62D2A"/>
    <w:rsid w:val="00B73CCC"/>
    <w:rsid w:val="00B83482"/>
    <w:rsid w:val="00B85DA3"/>
    <w:rsid w:val="00BC7024"/>
    <w:rsid w:val="00BE0BDA"/>
    <w:rsid w:val="00C1591E"/>
    <w:rsid w:val="00C200C0"/>
    <w:rsid w:val="00C36326"/>
    <w:rsid w:val="00C41955"/>
    <w:rsid w:val="00C469DE"/>
    <w:rsid w:val="00C70644"/>
    <w:rsid w:val="00C74329"/>
    <w:rsid w:val="00C76E03"/>
    <w:rsid w:val="00C86EC3"/>
    <w:rsid w:val="00C9755D"/>
    <w:rsid w:val="00D07483"/>
    <w:rsid w:val="00D17193"/>
    <w:rsid w:val="00D35CDF"/>
    <w:rsid w:val="00D36F9C"/>
    <w:rsid w:val="00D36FAF"/>
    <w:rsid w:val="00D46519"/>
    <w:rsid w:val="00D732FF"/>
    <w:rsid w:val="00D83858"/>
    <w:rsid w:val="00D97C7B"/>
    <w:rsid w:val="00DA4932"/>
    <w:rsid w:val="00DB7116"/>
    <w:rsid w:val="00DC7467"/>
    <w:rsid w:val="00DD2F1C"/>
    <w:rsid w:val="00E04CB9"/>
    <w:rsid w:val="00E15A23"/>
    <w:rsid w:val="00E604EA"/>
    <w:rsid w:val="00E87006"/>
    <w:rsid w:val="00EB24AA"/>
    <w:rsid w:val="00EB7B0F"/>
    <w:rsid w:val="00ED409A"/>
    <w:rsid w:val="00ED5A28"/>
    <w:rsid w:val="00F113C0"/>
    <w:rsid w:val="00F12345"/>
    <w:rsid w:val="00F43966"/>
    <w:rsid w:val="00F467A5"/>
    <w:rsid w:val="00F558AD"/>
    <w:rsid w:val="00F603D9"/>
    <w:rsid w:val="00F741FC"/>
    <w:rsid w:val="00FB79F4"/>
    <w:rsid w:val="00FB7B56"/>
    <w:rsid w:val="00FD11A5"/>
    <w:rsid w:val="00FD799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16"/>
    <w:pPr>
      <w:widowControl w:val="0"/>
      <w:overflowPunct w:val="0"/>
      <w:adjustRightInd w:val="0"/>
      <w:spacing w:after="240" w:line="275" w:lineRule="auto"/>
    </w:pPr>
    <w:rPr>
      <w:rFonts w:ascii="Calibri" w:hAnsi="Calibri" w:cs="Calibri"/>
      <w:kern w:val="28"/>
      <w:lang w:val="de-DE"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20B"/>
    <w:pPr>
      <w:tabs>
        <w:tab w:val="center" w:pos="4536"/>
        <w:tab w:val="right" w:pos="9072"/>
      </w:tabs>
    </w:pPr>
  </w:style>
  <w:style w:type="character" w:customStyle="1" w:styleId="FooterChar">
    <w:name w:val="Footer Char"/>
    <w:basedOn w:val="DefaultParagraphFont"/>
    <w:link w:val="Footer"/>
    <w:uiPriority w:val="99"/>
    <w:semiHidden/>
    <w:locked/>
    <w:rsid w:val="00495372"/>
    <w:rPr>
      <w:rFonts w:ascii="Calibri" w:hAnsi="Calibri" w:cs="Calibri"/>
      <w:kern w:val="28"/>
      <w:lang w:val="de-DE" w:eastAsia="nl-NL"/>
    </w:rPr>
  </w:style>
  <w:style w:type="character" w:styleId="PageNumber">
    <w:name w:val="page number"/>
    <w:basedOn w:val="DefaultParagraphFont"/>
    <w:uiPriority w:val="99"/>
    <w:rsid w:val="004C120B"/>
    <w:rPr>
      <w:rFonts w:cs="Times New Roman"/>
    </w:rPr>
  </w:style>
  <w:style w:type="character" w:styleId="CommentReference">
    <w:name w:val="annotation reference"/>
    <w:basedOn w:val="DefaultParagraphFont"/>
    <w:uiPriority w:val="99"/>
    <w:semiHidden/>
    <w:rsid w:val="00C200C0"/>
    <w:rPr>
      <w:rFonts w:cs="Times New Roman"/>
      <w:sz w:val="16"/>
      <w:szCs w:val="16"/>
    </w:rPr>
  </w:style>
  <w:style w:type="paragraph" w:styleId="CommentText">
    <w:name w:val="annotation text"/>
    <w:basedOn w:val="Normal"/>
    <w:link w:val="CommentTextChar"/>
    <w:uiPriority w:val="99"/>
    <w:semiHidden/>
    <w:rsid w:val="00C200C0"/>
    <w:rPr>
      <w:sz w:val="20"/>
      <w:szCs w:val="20"/>
    </w:rPr>
  </w:style>
  <w:style w:type="character" w:customStyle="1" w:styleId="CommentTextChar">
    <w:name w:val="Comment Text Char"/>
    <w:basedOn w:val="DefaultParagraphFont"/>
    <w:link w:val="CommentText"/>
    <w:uiPriority w:val="99"/>
    <w:locked/>
    <w:rsid w:val="00C200C0"/>
    <w:rPr>
      <w:rFonts w:ascii="Calibri" w:hAnsi="Calibri" w:cs="Calibri"/>
      <w:kern w:val="28"/>
      <w:lang w:eastAsia="nl-NL"/>
    </w:rPr>
  </w:style>
  <w:style w:type="paragraph" w:styleId="CommentSubject">
    <w:name w:val="annotation subject"/>
    <w:basedOn w:val="CommentText"/>
    <w:next w:val="CommentText"/>
    <w:link w:val="CommentSubjectChar"/>
    <w:uiPriority w:val="99"/>
    <w:semiHidden/>
    <w:rsid w:val="00C200C0"/>
    <w:rPr>
      <w:b/>
      <w:bCs/>
    </w:rPr>
  </w:style>
  <w:style w:type="character" w:customStyle="1" w:styleId="CommentSubjectChar">
    <w:name w:val="Comment Subject Char"/>
    <w:basedOn w:val="CommentTextChar"/>
    <w:link w:val="CommentSubject"/>
    <w:uiPriority w:val="99"/>
    <w:locked/>
    <w:rsid w:val="00C200C0"/>
    <w:rPr>
      <w:b/>
      <w:bCs/>
    </w:rPr>
  </w:style>
  <w:style w:type="paragraph" w:styleId="BalloonText">
    <w:name w:val="Balloon Text"/>
    <w:basedOn w:val="Normal"/>
    <w:link w:val="BalloonTextChar"/>
    <w:uiPriority w:val="99"/>
    <w:semiHidden/>
    <w:rsid w:val="00C20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200C0"/>
    <w:rPr>
      <w:rFonts w:ascii="Tahoma" w:hAnsi="Tahoma" w:cs="Tahoma"/>
      <w:kern w:val="28"/>
      <w:sz w:val="16"/>
      <w:szCs w:val="16"/>
      <w:lang w:eastAsia="nl-NL"/>
    </w:rPr>
  </w:style>
  <w:style w:type="paragraph" w:styleId="ListParagraph">
    <w:name w:val="List Paragraph"/>
    <w:basedOn w:val="Normal"/>
    <w:uiPriority w:val="99"/>
    <w:qFormat/>
    <w:rsid w:val="008C1FDB"/>
    <w:pPr>
      <w:ind w:left="720"/>
    </w:pPr>
  </w:style>
  <w:style w:type="paragraph" w:styleId="Revision">
    <w:name w:val="Revision"/>
    <w:hidden/>
    <w:uiPriority w:val="99"/>
    <w:semiHidden/>
    <w:rsid w:val="00F603D9"/>
    <w:rPr>
      <w:rFonts w:ascii="Calibri" w:hAnsi="Calibri" w:cs="Calibri"/>
      <w:kern w:val="28"/>
      <w:lang w:val="de-DE" w:eastAsia="nl-NL"/>
    </w:rPr>
  </w:style>
</w:styles>
</file>

<file path=word/webSettings.xml><?xml version="1.0" encoding="utf-8"?>
<w:webSettings xmlns:r="http://schemas.openxmlformats.org/officeDocument/2006/relationships" xmlns:w="http://schemas.openxmlformats.org/wordprocessingml/2006/main">
  <w:divs>
    <w:div w:id="211816341">
      <w:marLeft w:val="0"/>
      <w:marRight w:val="0"/>
      <w:marTop w:val="0"/>
      <w:marBottom w:val="0"/>
      <w:divBdr>
        <w:top w:val="none" w:sz="0" w:space="0" w:color="auto"/>
        <w:left w:val="none" w:sz="0" w:space="0" w:color="auto"/>
        <w:bottom w:val="none" w:sz="0" w:space="0" w:color="auto"/>
        <w:right w:val="none" w:sz="0" w:space="0" w:color="auto"/>
      </w:divBdr>
    </w:div>
    <w:div w:id="211816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B3B5F72B036A44A5A3E397A1DAA3F1" ma:contentTypeVersion="0" ma:contentTypeDescription="Create a new document." ma:contentTypeScope="" ma:versionID="5c514925d772ee56aa547b89b3c885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3681C8-8C21-459B-B894-5CE3DD1E733D}"/>
</file>

<file path=customXml/itemProps2.xml><?xml version="1.0" encoding="utf-8"?>
<ds:datastoreItem xmlns:ds="http://schemas.openxmlformats.org/officeDocument/2006/customXml" ds:itemID="{A211FC10-8558-4622-AE7E-DAF06327939F}"/>
</file>

<file path=customXml/itemProps3.xml><?xml version="1.0" encoding="utf-8"?>
<ds:datastoreItem xmlns:ds="http://schemas.openxmlformats.org/officeDocument/2006/customXml" ds:itemID="{DB730A92-4B4F-4E7D-B93B-587D24A513D0}"/>
</file>

<file path=docProps/app.xml><?xml version="1.0" encoding="utf-8"?>
<Properties xmlns="http://schemas.openxmlformats.org/officeDocument/2006/extended-properties" xmlns:vt="http://schemas.openxmlformats.org/officeDocument/2006/docPropsVTypes">
  <Template>Normal_Wordconv</Template>
  <TotalTime>3</TotalTime>
  <Pages>5</Pages>
  <Words>1666</Words>
  <Characters>9169</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Mobility Working Group </dc:title>
  <dc:subject/>
  <dc:creator>soenenma</dc:creator>
  <cp:keywords/>
  <dc:description/>
  <cp:lastModifiedBy>soenenma</cp:lastModifiedBy>
  <cp:revision>6</cp:revision>
  <cp:lastPrinted>2010-01-18T07:53:00Z</cp:lastPrinted>
  <dcterms:created xsi:type="dcterms:W3CDTF">2010-01-20T11:08:00Z</dcterms:created>
  <dcterms:modified xsi:type="dcterms:W3CDTF">2010-01-22T10:50:00Z</dcterms:modified>
</cp:coreProperties>
</file>