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E19" w:rsidRDefault="005E0E19" w:rsidP="001C4339">
      <w:pPr>
        <w:rPr>
          <w:b/>
          <w:sz w:val="20"/>
          <w:szCs w:val="20"/>
          <w:lang w:val="en-US"/>
        </w:rPr>
      </w:pPr>
    </w:p>
    <w:p w:rsidR="005E0E19" w:rsidRDefault="005E0E19" w:rsidP="001C4339">
      <w:pPr>
        <w:rPr>
          <w:b/>
          <w:sz w:val="20"/>
          <w:szCs w:val="20"/>
          <w:lang w:val="en-US"/>
        </w:rPr>
      </w:pPr>
    </w:p>
    <w:p w:rsidR="005E0E19" w:rsidRDefault="005E0E19" w:rsidP="001C4339">
      <w:pPr>
        <w:rPr>
          <w:b/>
          <w:sz w:val="20"/>
          <w:szCs w:val="20"/>
          <w:lang w:val="en-US"/>
        </w:rPr>
      </w:pPr>
    </w:p>
    <w:p w:rsidR="005E0E19" w:rsidRDefault="005E0E19" w:rsidP="001C4339">
      <w:pPr>
        <w:rPr>
          <w:b/>
          <w:sz w:val="20"/>
          <w:szCs w:val="20"/>
          <w:lang w:val="en-US"/>
        </w:rPr>
      </w:pPr>
    </w:p>
    <w:p w:rsidR="005E0E19" w:rsidRDefault="005E0E19" w:rsidP="001C4339">
      <w:pPr>
        <w:rPr>
          <w:b/>
          <w:sz w:val="20"/>
          <w:szCs w:val="20"/>
          <w:lang w:val="en-US"/>
        </w:rPr>
      </w:pPr>
    </w:p>
    <w:p w:rsidR="005E0E19" w:rsidRDefault="005E0E19" w:rsidP="005E0E19">
      <w:pPr>
        <w:jc w:val="right"/>
        <w:rPr>
          <w:rFonts w:ascii="Verdana" w:hAnsi="Verdana"/>
          <w:i/>
          <w:sz w:val="20"/>
          <w:lang w:val="en-US"/>
        </w:rPr>
      </w:pPr>
      <w:r w:rsidRPr="00162085">
        <w:rPr>
          <w:rFonts w:ascii="Verdana" w:hAnsi="Verdana" w:cs="Calibri"/>
          <w:i/>
          <w:sz w:val="20"/>
        </w:rPr>
        <w:t xml:space="preserve">Doc. Code: </w:t>
      </w:r>
      <w:r>
        <w:rPr>
          <w:rFonts w:ascii="Verdana" w:hAnsi="Verdana"/>
          <w:i/>
          <w:sz w:val="20"/>
          <w:lang w:val="en-US"/>
        </w:rPr>
        <w:t>BFUG_CY_BA_33_6.1_Annex5</w:t>
      </w:r>
    </w:p>
    <w:p w:rsidR="00977C7A" w:rsidRDefault="007F7217" w:rsidP="00977C7A">
      <w:pPr>
        <w:spacing w:line="288" w:lineRule="auto"/>
        <w:jc w:val="right"/>
        <w:rPr>
          <w:rFonts w:ascii="Verdana" w:hAnsi="Verdana"/>
          <w:b/>
          <w:sz w:val="20"/>
          <w:szCs w:val="20"/>
        </w:rPr>
      </w:pPr>
      <w:r>
        <w:rPr>
          <w:rFonts w:ascii="Verdana" w:hAnsi="Verdana"/>
          <w:i/>
          <w:sz w:val="20"/>
        </w:rPr>
        <w:t>Last modified: 24_08_</w:t>
      </w:r>
      <w:bookmarkStart w:id="0" w:name="_GoBack"/>
      <w:bookmarkEnd w:id="0"/>
      <w:r w:rsidR="00977C7A">
        <w:rPr>
          <w:rFonts w:ascii="Verdana" w:hAnsi="Verdana"/>
          <w:i/>
          <w:sz w:val="20"/>
        </w:rPr>
        <w:t>12</w:t>
      </w:r>
    </w:p>
    <w:p w:rsidR="00977C7A" w:rsidRDefault="00977C7A" w:rsidP="005E0E19">
      <w:pPr>
        <w:jc w:val="right"/>
        <w:rPr>
          <w:rFonts w:ascii="Verdana" w:hAnsi="Verdana"/>
          <w:i/>
          <w:sz w:val="20"/>
          <w:lang w:val="en-US"/>
        </w:rPr>
      </w:pPr>
    </w:p>
    <w:p w:rsidR="005E0E19" w:rsidRPr="000553CD" w:rsidRDefault="005E0E19" w:rsidP="005E0E19">
      <w:pPr>
        <w:rPr>
          <w:lang w:val="en-US"/>
        </w:rPr>
      </w:pPr>
    </w:p>
    <w:p w:rsidR="005E0E19" w:rsidRDefault="005E0E19" w:rsidP="005E0E19">
      <w:pPr>
        <w:jc w:val="center"/>
        <w:rPr>
          <w:rFonts w:ascii="Verdana" w:hAnsi="Verdana"/>
          <w:b/>
          <w:sz w:val="20"/>
          <w:szCs w:val="20"/>
        </w:rPr>
      </w:pPr>
      <w:r w:rsidRPr="00AE59D5">
        <w:rPr>
          <w:rFonts w:ascii="Verdana" w:hAnsi="Verdana"/>
          <w:b/>
          <w:sz w:val="20"/>
          <w:szCs w:val="20"/>
        </w:rPr>
        <w:t>Terms of Reference</w:t>
      </w:r>
    </w:p>
    <w:p w:rsidR="005E0E19" w:rsidRDefault="005E0E19" w:rsidP="005E0E19">
      <w:pPr>
        <w:jc w:val="center"/>
        <w:rPr>
          <w:rFonts w:ascii="Verdana" w:hAnsi="Verdana"/>
          <w:b/>
          <w:sz w:val="20"/>
          <w:szCs w:val="20"/>
        </w:rPr>
      </w:pPr>
      <w:proofErr w:type="gramStart"/>
      <w:r w:rsidRPr="00AE59D5">
        <w:rPr>
          <w:rFonts w:ascii="Verdana" w:hAnsi="Verdana"/>
          <w:b/>
          <w:sz w:val="20"/>
          <w:szCs w:val="20"/>
        </w:rPr>
        <w:t>on</w:t>
      </w:r>
      <w:proofErr w:type="gramEnd"/>
    </w:p>
    <w:p w:rsidR="005E0E19" w:rsidRPr="00AE59D5" w:rsidRDefault="00221278" w:rsidP="005E0E19">
      <w:pPr>
        <w:jc w:val="center"/>
        <w:rPr>
          <w:rFonts w:ascii="Verdana" w:hAnsi="Verdana"/>
          <w:b/>
          <w:sz w:val="20"/>
          <w:szCs w:val="20"/>
        </w:rPr>
      </w:pPr>
      <w:proofErr w:type="gramStart"/>
      <w:r>
        <w:rPr>
          <w:rFonts w:ascii="Verdana" w:hAnsi="Verdana"/>
          <w:b/>
          <w:bCs/>
          <w:sz w:val="20"/>
          <w:szCs w:val="20"/>
        </w:rPr>
        <w:t>t</w:t>
      </w:r>
      <w:r w:rsidR="005E0E19">
        <w:rPr>
          <w:rFonts w:ascii="Verdana" w:hAnsi="Verdana"/>
          <w:b/>
          <w:bCs/>
          <w:sz w:val="20"/>
          <w:szCs w:val="20"/>
        </w:rPr>
        <w:t>he</w:t>
      </w:r>
      <w:proofErr w:type="gramEnd"/>
      <w:r w:rsidR="005E0E19">
        <w:rPr>
          <w:rFonts w:ascii="Verdana" w:hAnsi="Verdana"/>
          <w:b/>
          <w:bCs/>
          <w:sz w:val="20"/>
          <w:szCs w:val="20"/>
        </w:rPr>
        <w:t xml:space="preserve"> Second and Third Cycle</w:t>
      </w:r>
    </w:p>
    <w:p w:rsidR="005E0E19" w:rsidRDefault="005E0E19" w:rsidP="001C4339">
      <w:pPr>
        <w:rPr>
          <w:b/>
          <w:sz w:val="20"/>
          <w:szCs w:val="20"/>
          <w:lang w:val="en-US"/>
        </w:rPr>
      </w:pPr>
    </w:p>
    <w:p w:rsidR="001C4339" w:rsidRPr="00550CBD" w:rsidRDefault="005E0E19" w:rsidP="001C4339">
      <w:pPr>
        <w:rPr>
          <w:b/>
          <w:sz w:val="20"/>
          <w:szCs w:val="20"/>
          <w:lang w:val="en-US"/>
        </w:rPr>
      </w:pPr>
      <w:r>
        <w:rPr>
          <w:b/>
          <w:noProof/>
          <w:sz w:val="20"/>
          <w:szCs w:val="20"/>
          <w:lang w:val="ru-RU" w:eastAsia="ru-RU"/>
        </w:rPr>
        <w:drawing>
          <wp:anchor distT="0" distB="0" distL="114300" distR="114300" simplePos="0" relativeHeight="251658240" behindDoc="1" locked="0" layoutInCell="0" allowOverlap="1">
            <wp:simplePos x="0" y="0"/>
            <wp:positionH relativeFrom="page">
              <wp:posOffset>894715</wp:posOffset>
            </wp:positionH>
            <wp:positionV relativeFrom="page">
              <wp:posOffset>38100</wp:posOffset>
            </wp:positionV>
            <wp:extent cx="6219825" cy="1047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19825" cy="10477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8856"/>
      </w:tblGrid>
      <w:tr w:rsidR="001C4339" w:rsidRPr="00550CBD" w:rsidTr="00550CBD">
        <w:trPr>
          <w:trHeight w:val="428"/>
        </w:trPr>
        <w:tc>
          <w:tcPr>
            <w:tcW w:w="9540" w:type="dxa"/>
          </w:tcPr>
          <w:p w:rsidR="001C4339" w:rsidRPr="00550CBD" w:rsidRDefault="00221278" w:rsidP="00550CBD">
            <w:pPr>
              <w:rPr>
                <w:rFonts w:ascii="Verdana" w:hAnsi="Verdana"/>
                <w:b/>
                <w:sz w:val="20"/>
                <w:szCs w:val="20"/>
              </w:rPr>
            </w:pPr>
            <w:r>
              <w:rPr>
                <w:rFonts w:ascii="Verdana" w:eastAsia="MS Mincho" w:hAnsi="Verdana" w:cs="Arial"/>
                <w:b/>
                <w:sz w:val="20"/>
                <w:szCs w:val="20"/>
              </w:rPr>
              <w:t xml:space="preserve">Ad-Hoc </w:t>
            </w:r>
            <w:r w:rsidR="001C4339" w:rsidRPr="00550CBD">
              <w:rPr>
                <w:rFonts w:ascii="Verdana" w:eastAsia="MS Mincho" w:hAnsi="Verdana" w:cs="Arial"/>
                <w:b/>
                <w:sz w:val="20"/>
                <w:szCs w:val="20"/>
              </w:rPr>
              <w:t xml:space="preserve">Working Group on </w:t>
            </w:r>
            <w:r>
              <w:rPr>
                <w:rFonts w:ascii="Verdana" w:eastAsia="MS Mincho" w:hAnsi="Verdana" w:cs="Arial"/>
                <w:b/>
                <w:sz w:val="20"/>
                <w:szCs w:val="20"/>
              </w:rPr>
              <w:t>the Second and Third C</w:t>
            </w:r>
            <w:r w:rsidR="00D22EA2" w:rsidRPr="00550CBD">
              <w:rPr>
                <w:rFonts w:ascii="Verdana" w:eastAsia="MS Mincho" w:hAnsi="Verdana" w:cs="Arial"/>
                <w:b/>
                <w:sz w:val="20"/>
                <w:szCs w:val="20"/>
              </w:rPr>
              <w:t>ycle</w:t>
            </w:r>
          </w:p>
        </w:tc>
      </w:tr>
      <w:tr w:rsidR="001C4339" w:rsidRPr="000E08E2">
        <w:trPr>
          <w:trHeight w:val="844"/>
        </w:trPr>
        <w:tc>
          <w:tcPr>
            <w:tcW w:w="9540" w:type="dxa"/>
          </w:tcPr>
          <w:p w:rsidR="00550CBD" w:rsidRDefault="001C4339" w:rsidP="00550CBD">
            <w:pPr>
              <w:rPr>
                <w:rFonts w:ascii="Verdana" w:hAnsi="Verdana"/>
                <w:sz w:val="20"/>
                <w:szCs w:val="20"/>
              </w:rPr>
            </w:pPr>
            <w:r w:rsidRPr="000E08E2">
              <w:rPr>
                <w:rFonts w:ascii="Verdana" w:hAnsi="Verdana"/>
                <w:b/>
                <w:sz w:val="20"/>
                <w:szCs w:val="20"/>
              </w:rPr>
              <w:t>Contact person</w:t>
            </w:r>
            <w:r>
              <w:rPr>
                <w:rFonts w:ascii="Verdana" w:hAnsi="Verdana"/>
                <w:b/>
                <w:sz w:val="20"/>
                <w:szCs w:val="20"/>
              </w:rPr>
              <w:t>s</w:t>
            </w:r>
            <w:r w:rsidRPr="000E08E2">
              <w:rPr>
                <w:rFonts w:ascii="Verdana" w:hAnsi="Verdana"/>
                <w:b/>
                <w:sz w:val="20"/>
                <w:szCs w:val="20"/>
              </w:rPr>
              <w:t xml:space="preserve"> </w:t>
            </w:r>
            <w:r w:rsidR="00221278" w:rsidRPr="00221278">
              <w:rPr>
                <w:rFonts w:ascii="Verdana" w:hAnsi="Verdana"/>
                <w:sz w:val="20"/>
                <w:szCs w:val="20"/>
              </w:rPr>
              <w:t>(proposed Co-Chairs)</w:t>
            </w:r>
          </w:p>
          <w:p w:rsidR="00221278" w:rsidRDefault="00221278" w:rsidP="00221278">
            <w:pPr>
              <w:shd w:val="clear" w:color="auto" w:fill="FFFFFF"/>
              <w:rPr>
                <w:rFonts w:ascii="Verdana" w:hAnsi="Verdana"/>
                <w:b/>
                <w:sz w:val="20"/>
                <w:szCs w:val="20"/>
              </w:rPr>
            </w:pPr>
          </w:p>
          <w:p w:rsidR="00221278" w:rsidRPr="00221278" w:rsidRDefault="00221278" w:rsidP="00221278">
            <w:pPr>
              <w:shd w:val="clear" w:color="auto" w:fill="FFFFFF"/>
              <w:rPr>
                <w:rFonts w:ascii="Verdana" w:hAnsi="Verdana" w:cs="Arial"/>
                <w:color w:val="000000" w:themeColor="text1"/>
                <w:sz w:val="20"/>
                <w:szCs w:val="20"/>
              </w:rPr>
            </w:pPr>
            <w:r>
              <w:rPr>
                <w:rFonts w:ascii="Verdana" w:hAnsi="Verdana" w:cs="Arial"/>
                <w:color w:val="000000" w:themeColor="text1"/>
                <w:sz w:val="20"/>
                <w:szCs w:val="20"/>
              </w:rPr>
              <w:t>Aarhus University-</w:t>
            </w:r>
            <w:r w:rsidRPr="00221278">
              <w:rPr>
                <w:rFonts w:ascii="Verdana" w:hAnsi="Verdana" w:cs="Arial"/>
                <w:color w:val="000000" w:themeColor="text1"/>
                <w:sz w:val="20"/>
                <w:szCs w:val="20"/>
              </w:rPr>
              <w:t>Denmark</w:t>
            </w:r>
          </w:p>
          <w:p w:rsidR="00221278" w:rsidRDefault="00BC5928" w:rsidP="00550CBD">
            <w:pPr>
              <w:rPr>
                <w:rFonts w:ascii="Verdana" w:hAnsi="Verdana"/>
                <w:sz w:val="20"/>
                <w:szCs w:val="20"/>
                <w:lang w:val="de-DE"/>
              </w:rPr>
            </w:pPr>
            <w:r>
              <w:rPr>
                <w:rFonts w:ascii="Verdana" w:hAnsi="Verdana"/>
                <w:sz w:val="20"/>
                <w:szCs w:val="20"/>
                <w:lang w:val="de-DE"/>
              </w:rPr>
              <w:t>Nicola V</w:t>
            </w:r>
            <w:r w:rsidR="00221278">
              <w:rPr>
                <w:rFonts w:ascii="Verdana" w:hAnsi="Verdana"/>
                <w:sz w:val="20"/>
                <w:szCs w:val="20"/>
                <w:lang w:val="de-DE"/>
              </w:rPr>
              <w:t>ITTORIO-</w:t>
            </w:r>
            <w:proofErr w:type="spellStart"/>
            <w:r w:rsidR="00550CBD">
              <w:rPr>
                <w:rFonts w:ascii="Verdana" w:hAnsi="Verdana"/>
                <w:sz w:val="20"/>
                <w:szCs w:val="20"/>
                <w:lang w:val="de-DE"/>
              </w:rPr>
              <w:t>Italy</w:t>
            </w:r>
            <w:proofErr w:type="spellEnd"/>
            <w:r>
              <w:rPr>
                <w:rFonts w:ascii="Verdana" w:hAnsi="Verdana"/>
                <w:sz w:val="20"/>
                <w:szCs w:val="20"/>
                <w:lang w:val="de-DE"/>
              </w:rPr>
              <w:t xml:space="preserve"> </w:t>
            </w:r>
            <w:r w:rsidR="00550CBD">
              <w:rPr>
                <w:rFonts w:ascii="Verdana" w:hAnsi="Verdana"/>
                <w:sz w:val="20"/>
                <w:szCs w:val="20"/>
                <w:lang w:val="de-DE"/>
              </w:rPr>
              <w:t>(</w:t>
            </w:r>
            <w:hyperlink r:id="rId9" w:history="1">
              <w:r w:rsidRPr="0065437C">
                <w:rPr>
                  <w:rStyle w:val="Hyperlink"/>
                  <w:rFonts w:ascii="Verdana" w:hAnsi="Verdana"/>
                  <w:sz w:val="20"/>
                  <w:szCs w:val="20"/>
                  <w:lang w:val="de-DE"/>
                </w:rPr>
                <w:t>nicola.vittorio@uniroma2.it</w:t>
              </w:r>
            </w:hyperlink>
            <w:r w:rsidR="00550CBD">
              <w:rPr>
                <w:rFonts w:ascii="Verdana" w:hAnsi="Verdana"/>
                <w:sz w:val="20"/>
                <w:szCs w:val="20"/>
                <w:lang w:val="de-DE"/>
              </w:rPr>
              <w:t xml:space="preserve">) </w:t>
            </w:r>
          </w:p>
          <w:p w:rsidR="00992609" w:rsidRDefault="00BC5928" w:rsidP="00550CBD">
            <w:pPr>
              <w:rPr>
                <w:rFonts w:ascii="Verdana" w:hAnsi="Verdana"/>
                <w:sz w:val="20"/>
                <w:szCs w:val="20"/>
                <w:lang w:val="de-DE"/>
              </w:rPr>
            </w:pPr>
            <w:r>
              <w:rPr>
                <w:rFonts w:ascii="Verdana" w:hAnsi="Verdana"/>
                <w:sz w:val="20"/>
                <w:szCs w:val="20"/>
                <w:lang w:val="de-DE"/>
              </w:rPr>
              <w:t>Marzi</w:t>
            </w:r>
            <w:r w:rsidR="00221278">
              <w:rPr>
                <w:rFonts w:ascii="Verdana" w:hAnsi="Verdana"/>
                <w:sz w:val="20"/>
                <w:szCs w:val="20"/>
                <w:lang w:val="de-DE"/>
              </w:rPr>
              <w:t>a FORONI-</w:t>
            </w:r>
            <w:proofErr w:type="spellStart"/>
            <w:r w:rsidR="00550CBD">
              <w:rPr>
                <w:rFonts w:ascii="Verdana" w:hAnsi="Verdana"/>
                <w:sz w:val="20"/>
                <w:szCs w:val="20"/>
                <w:lang w:val="de-DE"/>
              </w:rPr>
              <w:t>Italy</w:t>
            </w:r>
            <w:proofErr w:type="spellEnd"/>
            <w:r w:rsidR="00550CBD">
              <w:rPr>
                <w:rFonts w:ascii="Verdana" w:hAnsi="Verdana"/>
                <w:sz w:val="20"/>
                <w:szCs w:val="20"/>
                <w:lang w:val="de-DE"/>
              </w:rPr>
              <w:t xml:space="preserve"> (</w:t>
            </w:r>
            <w:hyperlink r:id="rId10" w:history="1">
              <w:r w:rsidR="00550CBD" w:rsidRPr="00933D73">
                <w:rPr>
                  <w:rStyle w:val="Hyperlink"/>
                  <w:rFonts w:ascii="Verdana" w:hAnsi="Verdana"/>
                  <w:sz w:val="20"/>
                  <w:szCs w:val="20"/>
                  <w:lang w:val="de-DE"/>
                </w:rPr>
                <w:t>marzia.foroni@miur.it</w:t>
              </w:r>
            </w:hyperlink>
            <w:r w:rsidR="00550CBD">
              <w:rPr>
                <w:rFonts w:ascii="Verdana" w:hAnsi="Verdana"/>
                <w:sz w:val="20"/>
                <w:szCs w:val="20"/>
                <w:lang w:val="de-DE"/>
              </w:rPr>
              <w:t xml:space="preserve">) </w:t>
            </w:r>
          </w:p>
          <w:p w:rsidR="00221278" w:rsidRPr="00221278" w:rsidRDefault="00221278" w:rsidP="00221278">
            <w:pPr>
              <w:shd w:val="clear" w:color="auto" w:fill="FFFFFF"/>
              <w:rPr>
                <w:rFonts w:ascii="Verdana" w:hAnsi="Verdana" w:cs="Arial"/>
                <w:color w:val="000000" w:themeColor="text1"/>
                <w:sz w:val="20"/>
                <w:szCs w:val="20"/>
              </w:rPr>
            </w:pPr>
            <w:r>
              <w:rPr>
                <w:rFonts w:ascii="Verdana" w:hAnsi="Verdana" w:cs="Arial"/>
                <w:color w:val="000000" w:themeColor="text1"/>
                <w:sz w:val="20"/>
                <w:szCs w:val="20"/>
              </w:rPr>
              <w:t xml:space="preserve">                TBC-</w:t>
            </w:r>
            <w:r w:rsidRPr="00221278">
              <w:rPr>
                <w:rFonts w:ascii="Verdana" w:hAnsi="Verdana" w:cs="Arial"/>
                <w:color w:val="000000" w:themeColor="text1"/>
                <w:sz w:val="20"/>
                <w:szCs w:val="20"/>
              </w:rPr>
              <w:t>Romania</w:t>
            </w:r>
          </w:p>
          <w:p w:rsidR="001C4339" w:rsidRPr="000E08E2" w:rsidRDefault="001C4339" w:rsidP="001C4339">
            <w:pPr>
              <w:rPr>
                <w:rFonts w:ascii="Verdana" w:hAnsi="Verdana"/>
                <w:b/>
                <w:sz w:val="20"/>
                <w:szCs w:val="20"/>
                <w:lang w:val="de-DE"/>
              </w:rPr>
            </w:pPr>
          </w:p>
        </w:tc>
      </w:tr>
      <w:tr w:rsidR="001C4339" w:rsidRPr="000E08E2">
        <w:trPr>
          <w:trHeight w:val="1084"/>
        </w:trPr>
        <w:tc>
          <w:tcPr>
            <w:tcW w:w="9540" w:type="dxa"/>
          </w:tcPr>
          <w:p w:rsidR="001C4339" w:rsidRPr="00DD5DC8" w:rsidRDefault="001C4339" w:rsidP="00DD5DC8">
            <w:pPr>
              <w:spacing w:after="120"/>
              <w:rPr>
                <w:rFonts w:ascii="Verdana" w:hAnsi="Verdana"/>
                <w:b/>
                <w:sz w:val="20"/>
                <w:szCs w:val="20"/>
              </w:rPr>
            </w:pPr>
            <w:r w:rsidRPr="000E08E2">
              <w:rPr>
                <w:rFonts w:ascii="Verdana" w:hAnsi="Verdana"/>
                <w:b/>
                <w:sz w:val="20"/>
                <w:szCs w:val="20"/>
              </w:rPr>
              <w:t xml:space="preserve">Composition </w:t>
            </w:r>
          </w:p>
          <w:p w:rsidR="007E18DA" w:rsidRDefault="007E18DA" w:rsidP="001C4339">
            <w:pPr>
              <w:jc w:val="both"/>
              <w:rPr>
                <w:rFonts w:ascii="Verdana" w:hAnsi="Verdana"/>
                <w:sz w:val="20"/>
                <w:szCs w:val="20"/>
              </w:rPr>
            </w:pPr>
            <w:r>
              <w:rPr>
                <w:rFonts w:ascii="Verdana" w:hAnsi="Verdana"/>
                <w:sz w:val="20"/>
                <w:szCs w:val="20"/>
              </w:rPr>
              <w:t>The members of the group should:</w:t>
            </w:r>
          </w:p>
          <w:p w:rsidR="007E18DA" w:rsidRPr="00BB1928" w:rsidRDefault="001C4339" w:rsidP="00BB1928">
            <w:pPr>
              <w:numPr>
                <w:ilvl w:val="0"/>
                <w:numId w:val="5"/>
              </w:numPr>
              <w:jc w:val="both"/>
              <w:rPr>
                <w:rFonts w:ascii="Verdana" w:hAnsi="Verdana"/>
                <w:sz w:val="20"/>
                <w:szCs w:val="20"/>
              </w:rPr>
            </w:pPr>
            <w:r w:rsidRPr="00281602">
              <w:rPr>
                <w:rFonts w:ascii="Verdana" w:hAnsi="Verdana"/>
                <w:sz w:val="20"/>
                <w:szCs w:val="20"/>
              </w:rPr>
              <w:t>be balanced in terms of geography and experience;</w:t>
            </w:r>
          </w:p>
          <w:p w:rsidR="00BB1928" w:rsidRDefault="007E18DA" w:rsidP="007E18DA">
            <w:pPr>
              <w:numPr>
                <w:ilvl w:val="0"/>
                <w:numId w:val="5"/>
              </w:numPr>
              <w:jc w:val="both"/>
              <w:rPr>
                <w:rFonts w:ascii="Verdana" w:hAnsi="Verdana"/>
                <w:sz w:val="20"/>
                <w:szCs w:val="20"/>
              </w:rPr>
            </w:pPr>
            <w:r>
              <w:rPr>
                <w:rFonts w:ascii="Verdana" w:hAnsi="Verdana"/>
                <w:sz w:val="20"/>
                <w:szCs w:val="20"/>
              </w:rPr>
              <w:t xml:space="preserve">cover expertise on </w:t>
            </w:r>
            <w:r w:rsidR="00BB1928">
              <w:rPr>
                <w:rFonts w:ascii="Verdana" w:hAnsi="Verdana"/>
                <w:sz w:val="20"/>
                <w:szCs w:val="20"/>
              </w:rPr>
              <w:t>the implementation at the institutional level of the “Salzburg II Principles” or of the “Principles for Innovative Doctoral Training”</w:t>
            </w:r>
          </w:p>
          <w:p w:rsidR="007E18DA" w:rsidRDefault="00BB1928" w:rsidP="007E18DA">
            <w:pPr>
              <w:numPr>
                <w:ilvl w:val="0"/>
                <w:numId w:val="5"/>
              </w:numPr>
              <w:jc w:val="both"/>
              <w:rPr>
                <w:rFonts w:ascii="Verdana" w:hAnsi="Verdana"/>
                <w:sz w:val="20"/>
                <w:szCs w:val="20"/>
              </w:rPr>
            </w:pPr>
            <w:r>
              <w:rPr>
                <w:rFonts w:ascii="Verdana" w:hAnsi="Verdana"/>
                <w:sz w:val="20"/>
                <w:szCs w:val="20"/>
              </w:rPr>
              <w:t xml:space="preserve">cover expertise on </w:t>
            </w:r>
            <w:r w:rsidR="007E18DA">
              <w:rPr>
                <w:rFonts w:ascii="Verdana" w:hAnsi="Verdana"/>
                <w:sz w:val="20"/>
                <w:szCs w:val="20"/>
              </w:rPr>
              <w:t>employability</w:t>
            </w:r>
            <w:r w:rsidR="003446D1">
              <w:rPr>
                <w:rFonts w:ascii="Verdana" w:hAnsi="Verdana"/>
                <w:sz w:val="20"/>
                <w:szCs w:val="20"/>
              </w:rPr>
              <w:t xml:space="preserve"> and mobility</w:t>
            </w:r>
            <w:r w:rsidR="007E18DA">
              <w:rPr>
                <w:rFonts w:ascii="Verdana" w:hAnsi="Verdana"/>
                <w:sz w:val="20"/>
                <w:szCs w:val="20"/>
              </w:rPr>
              <w:t xml:space="preserve"> policies</w:t>
            </w:r>
            <w:r>
              <w:rPr>
                <w:rFonts w:ascii="Verdana" w:hAnsi="Verdana"/>
                <w:sz w:val="20"/>
                <w:szCs w:val="20"/>
              </w:rPr>
              <w:t>, both for the second and third cycle</w:t>
            </w:r>
            <w:r w:rsidR="007E18DA">
              <w:rPr>
                <w:rFonts w:ascii="Verdana" w:hAnsi="Verdana"/>
                <w:sz w:val="20"/>
                <w:szCs w:val="20"/>
              </w:rPr>
              <w:t>;</w:t>
            </w:r>
          </w:p>
          <w:p w:rsidR="00BB1928" w:rsidRDefault="00BB1928" w:rsidP="00BB1928">
            <w:pPr>
              <w:numPr>
                <w:ilvl w:val="0"/>
                <w:numId w:val="5"/>
              </w:numPr>
              <w:jc w:val="both"/>
              <w:rPr>
                <w:rFonts w:ascii="Verdana" w:hAnsi="Verdana"/>
                <w:sz w:val="20"/>
                <w:szCs w:val="20"/>
              </w:rPr>
            </w:pPr>
            <w:r>
              <w:rPr>
                <w:rFonts w:ascii="Verdana" w:hAnsi="Verdana"/>
                <w:sz w:val="20"/>
                <w:szCs w:val="20"/>
              </w:rPr>
              <w:t>cover expertise on transparency instruments, on qualifications frameworks and on recognition;</w:t>
            </w:r>
          </w:p>
          <w:p w:rsidR="00FB7E90" w:rsidRPr="00BB1928" w:rsidRDefault="00FB7E90" w:rsidP="00BB1928">
            <w:pPr>
              <w:numPr>
                <w:ilvl w:val="0"/>
                <w:numId w:val="5"/>
              </w:numPr>
              <w:jc w:val="both"/>
              <w:rPr>
                <w:rFonts w:ascii="Verdana" w:hAnsi="Verdana"/>
                <w:sz w:val="20"/>
                <w:szCs w:val="20"/>
              </w:rPr>
            </w:pPr>
            <w:r>
              <w:rPr>
                <w:rFonts w:ascii="Verdana" w:hAnsi="Verdana"/>
                <w:sz w:val="20"/>
                <w:szCs w:val="20"/>
              </w:rPr>
              <w:t>should include</w:t>
            </w:r>
            <w:r w:rsidR="00BC5928">
              <w:rPr>
                <w:rFonts w:ascii="Verdana" w:hAnsi="Verdana"/>
                <w:sz w:val="20"/>
                <w:szCs w:val="20"/>
              </w:rPr>
              <w:t xml:space="preserve"> one representative of the ERA</w:t>
            </w:r>
            <w:r>
              <w:rPr>
                <w:rFonts w:ascii="Verdana" w:hAnsi="Verdana"/>
                <w:sz w:val="20"/>
                <w:szCs w:val="20"/>
              </w:rPr>
              <w:t>;</w:t>
            </w:r>
          </w:p>
          <w:p w:rsidR="007E18DA" w:rsidRDefault="00E20EA4" w:rsidP="007E18DA">
            <w:pPr>
              <w:numPr>
                <w:ilvl w:val="0"/>
                <w:numId w:val="5"/>
              </w:numPr>
              <w:jc w:val="both"/>
              <w:rPr>
                <w:rFonts w:ascii="Verdana" w:hAnsi="Verdana"/>
                <w:sz w:val="20"/>
                <w:szCs w:val="20"/>
              </w:rPr>
            </w:pPr>
            <w:r>
              <w:rPr>
                <w:rFonts w:ascii="Verdana" w:hAnsi="Verdana"/>
                <w:sz w:val="20"/>
                <w:szCs w:val="20"/>
              </w:rPr>
              <w:t>should include EUA, ESU, EURASHE and ENQA;</w:t>
            </w:r>
          </w:p>
          <w:p w:rsidR="001C4339" w:rsidRPr="00281602" w:rsidRDefault="00E20EA4" w:rsidP="007E18DA">
            <w:pPr>
              <w:numPr>
                <w:ilvl w:val="0"/>
                <w:numId w:val="5"/>
              </w:numPr>
              <w:jc w:val="both"/>
              <w:rPr>
                <w:rFonts w:ascii="Verdana" w:hAnsi="Verdana"/>
                <w:sz w:val="20"/>
                <w:szCs w:val="20"/>
              </w:rPr>
            </w:pPr>
            <w:proofErr w:type="gramStart"/>
            <w:r>
              <w:rPr>
                <w:rFonts w:ascii="Verdana" w:hAnsi="Verdana"/>
                <w:sz w:val="20"/>
                <w:szCs w:val="20"/>
              </w:rPr>
              <w:t>should</w:t>
            </w:r>
            <w:proofErr w:type="gramEnd"/>
            <w:r>
              <w:rPr>
                <w:rFonts w:ascii="Verdana" w:hAnsi="Verdana"/>
                <w:sz w:val="20"/>
                <w:szCs w:val="20"/>
              </w:rPr>
              <w:t xml:space="preserve"> include the Commission</w:t>
            </w:r>
            <w:r w:rsidR="00BB1928">
              <w:rPr>
                <w:rFonts w:ascii="Verdana" w:hAnsi="Verdana"/>
                <w:sz w:val="20"/>
                <w:szCs w:val="20"/>
              </w:rPr>
              <w:t>, EURODOC</w:t>
            </w:r>
            <w:r w:rsidR="00221278">
              <w:rPr>
                <w:rFonts w:ascii="Verdana" w:hAnsi="Verdana"/>
                <w:sz w:val="20"/>
                <w:szCs w:val="20"/>
              </w:rPr>
              <w:t xml:space="preserve"> and BUSINESS</w:t>
            </w:r>
            <w:r>
              <w:rPr>
                <w:rFonts w:ascii="Verdana" w:hAnsi="Verdana"/>
                <w:sz w:val="20"/>
                <w:szCs w:val="20"/>
              </w:rPr>
              <w:t>EUROPE</w:t>
            </w:r>
            <w:r w:rsidR="001C4339" w:rsidRPr="00281602">
              <w:rPr>
                <w:rFonts w:ascii="Verdana" w:hAnsi="Verdana"/>
                <w:sz w:val="20"/>
                <w:szCs w:val="20"/>
              </w:rPr>
              <w:t>.</w:t>
            </w:r>
          </w:p>
          <w:p w:rsidR="001C4339" w:rsidRPr="00281602" w:rsidRDefault="001C4339" w:rsidP="001C4339">
            <w:pPr>
              <w:jc w:val="both"/>
              <w:rPr>
                <w:rFonts w:ascii="Verdana" w:hAnsi="Verdana"/>
                <w:sz w:val="20"/>
                <w:szCs w:val="20"/>
              </w:rPr>
            </w:pPr>
          </w:p>
          <w:p w:rsidR="001C4339" w:rsidRDefault="00DD5DC8" w:rsidP="001C4339">
            <w:pPr>
              <w:jc w:val="both"/>
              <w:rPr>
                <w:rFonts w:ascii="Verdana" w:hAnsi="Verdana"/>
                <w:sz w:val="20"/>
                <w:szCs w:val="20"/>
              </w:rPr>
            </w:pPr>
            <w:r>
              <w:rPr>
                <w:rFonts w:ascii="Verdana" w:hAnsi="Verdana"/>
                <w:sz w:val="20"/>
                <w:szCs w:val="20"/>
              </w:rPr>
              <w:t>T</w:t>
            </w:r>
            <w:r w:rsidR="001C4339" w:rsidRPr="00281602">
              <w:rPr>
                <w:rFonts w:ascii="Verdana" w:hAnsi="Verdana"/>
                <w:sz w:val="20"/>
                <w:szCs w:val="20"/>
              </w:rPr>
              <w:t>he gr</w:t>
            </w:r>
            <w:r w:rsidR="00BB1928">
              <w:rPr>
                <w:rFonts w:ascii="Verdana" w:hAnsi="Verdana"/>
                <w:sz w:val="20"/>
                <w:szCs w:val="20"/>
              </w:rPr>
              <w:t>oup should not have more than 15</w:t>
            </w:r>
            <w:r w:rsidR="001C4339" w:rsidRPr="00281602">
              <w:rPr>
                <w:rFonts w:ascii="Verdana" w:hAnsi="Verdana"/>
                <w:sz w:val="20"/>
                <w:szCs w:val="20"/>
              </w:rPr>
              <w:t xml:space="preserve"> members, with a majority of country members.</w:t>
            </w:r>
          </w:p>
          <w:p w:rsidR="00221278" w:rsidRDefault="00221278" w:rsidP="001C4339">
            <w:pPr>
              <w:jc w:val="both"/>
              <w:rPr>
                <w:rFonts w:ascii="Verdana" w:hAnsi="Verdana"/>
                <w:sz w:val="20"/>
                <w:szCs w:val="20"/>
              </w:rPr>
            </w:pPr>
          </w:p>
          <w:p w:rsidR="00221278" w:rsidRDefault="00221278" w:rsidP="00221278">
            <w:pPr>
              <w:rPr>
                <w:rFonts w:ascii="Verdana" w:hAnsi="Verdana"/>
                <w:sz w:val="20"/>
                <w:szCs w:val="20"/>
              </w:rPr>
            </w:pPr>
            <w:r>
              <w:rPr>
                <w:rFonts w:ascii="Verdana" w:hAnsi="Verdana"/>
                <w:sz w:val="20"/>
                <w:szCs w:val="20"/>
              </w:rPr>
              <w:t>The following countries expressed their willingness to participate in the Ad-hoc WG:</w:t>
            </w:r>
          </w:p>
          <w:p w:rsidR="00221278" w:rsidRPr="00977C7A" w:rsidRDefault="00221278" w:rsidP="00221278">
            <w:r>
              <w:rPr>
                <w:rFonts w:ascii="Verdana" w:hAnsi="Verdana"/>
                <w:sz w:val="20"/>
                <w:szCs w:val="20"/>
              </w:rPr>
              <w:t xml:space="preserve">Armenia, </w:t>
            </w:r>
            <w:r w:rsidR="00977C7A">
              <w:rPr>
                <w:rFonts w:ascii="Verdana" w:hAnsi="Verdana"/>
                <w:sz w:val="20"/>
                <w:szCs w:val="20"/>
              </w:rPr>
              <w:t>Austria,</w:t>
            </w:r>
            <w:r w:rsidR="00977C7A">
              <w:t xml:space="preserve"> </w:t>
            </w:r>
            <w:r>
              <w:rPr>
                <w:rFonts w:ascii="Verdana" w:hAnsi="Verdana"/>
                <w:sz w:val="20"/>
                <w:szCs w:val="20"/>
              </w:rPr>
              <w:t xml:space="preserve">Belgium/Flemish Community, </w:t>
            </w:r>
            <w:r w:rsidRPr="00221278">
              <w:rPr>
                <w:rFonts w:ascii="Verdana" w:hAnsi="Verdana"/>
                <w:sz w:val="20"/>
                <w:szCs w:val="20"/>
              </w:rPr>
              <w:t>Czech Republic</w:t>
            </w:r>
            <w:r>
              <w:rPr>
                <w:rFonts w:ascii="Verdana" w:hAnsi="Verdana"/>
                <w:sz w:val="20"/>
                <w:szCs w:val="20"/>
              </w:rPr>
              <w:t>, Poland</w:t>
            </w:r>
          </w:p>
          <w:p w:rsidR="00221278" w:rsidRPr="000E08E2" w:rsidRDefault="00221278" w:rsidP="001C4339">
            <w:pPr>
              <w:jc w:val="both"/>
              <w:rPr>
                <w:rFonts w:ascii="Verdana" w:hAnsi="Verdana"/>
                <w:sz w:val="20"/>
                <w:szCs w:val="20"/>
              </w:rPr>
            </w:pPr>
          </w:p>
        </w:tc>
      </w:tr>
      <w:tr w:rsidR="001C4339" w:rsidRPr="000E08E2">
        <w:trPr>
          <w:trHeight w:val="844"/>
        </w:trPr>
        <w:tc>
          <w:tcPr>
            <w:tcW w:w="9540" w:type="dxa"/>
          </w:tcPr>
          <w:p w:rsidR="001C4339" w:rsidRPr="000E08E2" w:rsidRDefault="001C4339" w:rsidP="001C4339">
            <w:pPr>
              <w:spacing w:after="120"/>
              <w:rPr>
                <w:rFonts w:ascii="Verdana" w:hAnsi="Verdana"/>
                <w:b/>
                <w:sz w:val="20"/>
                <w:szCs w:val="20"/>
              </w:rPr>
            </w:pPr>
            <w:r w:rsidRPr="000E08E2">
              <w:rPr>
                <w:rFonts w:ascii="Verdana" w:hAnsi="Verdana"/>
                <w:b/>
                <w:sz w:val="20"/>
                <w:szCs w:val="20"/>
              </w:rPr>
              <w:t xml:space="preserve">Purpose and/or outcome </w:t>
            </w:r>
          </w:p>
          <w:p w:rsidR="001C4339" w:rsidRDefault="00E20EA4" w:rsidP="001C4339">
            <w:pPr>
              <w:spacing w:after="120"/>
              <w:jc w:val="both"/>
              <w:rPr>
                <w:rFonts w:ascii="Verdana" w:hAnsi="Verdana"/>
                <w:sz w:val="20"/>
                <w:szCs w:val="20"/>
              </w:rPr>
            </w:pPr>
            <w:r>
              <w:rPr>
                <w:rFonts w:ascii="Verdana" w:hAnsi="Verdana"/>
                <w:sz w:val="20"/>
                <w:szCs w:val="20"/>
              </w:rPr>
              <w:t>Map the current arrangements for the second and third cycle in the EHEA, taking into account also the development within the ERA;</w:t>
            </w:r>
          </w:p>
          <w:p w:rsidR="00E20EA4" w:rsidRPr="000E08E2" w:rsidRDefault="00E20EA4" w:rsidP="001C4339">
            <w:pPr>
              <w:spacing w:after="120"/>
              <w:jc w:val="both"/>
              <w:rPr>
                <w:rFonts w:ascii="Verdana" w:hAnsi="Verdana"/>
                <w:sz w:val="20"/>
                <w:szCs w:val="20"/>
                <w:highlight w:val="yellow"/>
              </w:rPr>
            </w:pPr>
            <w:r>
              <w:rPr>
                <w:rFonts w:ascii="Verdana" w:hAnsi="Verdana"/>
                <w:sz w:val="20"/>
                <w:szCs w:val="20"/>
              </w:rPr>
              <w:t>Explore the need and feasibility of developing common principles for the second and third cycle programmes within the EHEA.</w:t>
            </w:r>
          </w:p>
        </w:tc>
      </w:tr>
      <w:tr w:rsidR="001C4339" w:rsidRPr="000E08E2" w:rsidTr="00315C7B">
        <w:trPr>
          <w:trHeight w:val="383"/>
        </w:trPr>
        <w:tc>
          <w:tcPr>
            <w:tcW w:w="9540" w:type="dxa"/>
          </w:tcPr>
          <w:p w:rsidR="001C4339" w:rsidRPr="00D22EA2" w:rsidRDefault="001C4339" w:rsidP="001C4339">
            <w:pPr>
              <w:spacing w:after="120"/>
              <w:rPr>
                <w:rFonts w:ascii="Verdana" w:hAnsi="Verdana"/>
                <w:b/>
                <w:sz w:val="20"/>
                <w:szCs w:val="20"/>
                <w:lang w:val="en-US"/>
              </w:rPr>
            </w:pPr>
            <w:r w:rsidRPr="00D22EA2">
              <w:rPr>
                <w:rFonts w:ascii="Verdana" w:hAnsi="Verdana"/>
                <w:b/>
                <w:sz w:val="20"/>
                <w:szCs w:val="20"/>
                <w:lang w:val="en-US"/>
              </w:rPr>
              <w:t xml:space="preserve">Reference to the Bucharest Communiqué  </w:t>
            </w:r>
          </w:p>
          <w:p w:rsidR="001C4339" w:rsidRPr="007E18DA" w:rsidRDefault="00E20EA4" w:rsidP="001C4339">
            <w:pPr>
              <w:pStyle w:val="Default"/>
              <w:rPr>
                <w:rFonts w:ascii="Verdana" w:hAnsi="Verdana"/>
                <w:sz w:val="20"/>
                <w:szCs w:val="20"/>
              </w:rPr>
            </w:pPr>
            <w:r w:rsidRPr="007E18DA">
              <w:rPr>
                <w:rFonts w:ascii="Verdana" w:hAnsi="Verdana"/>
                <w:sz w:val="20"/>
                <w:szCs w:val="20"/>
              </w:rPr>
              <w:lastRenderedPageBreak/>
              <w:t>“</w:t>
            </w:r>
            <w:r w:rsidRPr="007E18DA">
              <w:rPr>
                <w:rFonts w:ascii="Verdana" w:hAnsi="Verdana"/>
                <w:b/>
                <w:sz w:val="20"/>
                <w:szCs w:val="20"/>
              </w:rPr>
              <w:t>Enhancing employability to serve Europe’s needs</w:t>
            </w:r>
            <w:r w:rsidRPr="007E18DA">
              <w:rPr>
                <w:rFonts w:ascii="Verdana" w:hAnsi="Verdana"/>
                <w:sz w:val="20"/>
                <w:szCs w:val="20"/>
              </w:rPr>
              <w:t>”</w:t>
            </w:r>
          </w:p>
          <w:p w:rsidR="007E18DA" w:rsidRPr="007E18DA" w:rsidRDefault="007E18DA" w:rsidP="007E18DA">
            <w:pPr>
              <w:pStyle w:val="Default"/>
              <w:numPr>
                <w:ilvl w:val="0"/>
                <w:numId w:val="4"/>
              </w:numPr>
              <w:rPr>
                <w:rFonts w:ascii="Verdana" w:hAnsi="Verdana"/>
                <w:color w:val="auto"/>
                <w:sz w:val="20"/>
                <w:szCs w:val="20"/>
              </w:rPr>
            </w:pPr>
            <w:r w:rsidRPr="007E18DA">
              <w:rPr>
                <w:rFonts w:ascii="Verdana" w:hAnsi="Verdana" w:cs="Times New Roman"/>
                <w:iCs/>
                <w:color w:val="auto"/>
                <w:sz w:val="20"/>
                <w:szCs w:val="20"/>
              </w:rPr>
              <w:t xml:space="preserve">In this respect, we will sustain </w:t>
            </w:r>
            <w:r w:rsidR="00315C7B">
              <w:rPr>
                <w:rFonts w:ascii="Verdana" w:hAnsi="Verdana" w:cs="Times New Roman"/>
                <w:iCs/>
                <w:color w:val="auto"/>
                <w:sz w:val="20"/>
                <w:szCs w:val="20"/>
              </w:rPr>
              <w:t>a diversity of doctoral program</w:t>
            </w:r>
            <w:r w:rsidRPr="007E18DA">
              <w:rPr>
                <w:rFonts w:ascii="Verdana" w:hAnsi="Verdana" w:cs="Times New Roman"/>
                <w:iCs/>
                <w:color w:val="auto"/>
                <w:sz w:val="20"/>
                <w:szCs w:val="20"/>
              </w:rPr>
              <w:t>s. Taking into account the “Salzburg II recommendations” and the Principles for Innovative Doctoral Training, we will explore how to promote quality, transparency, employability and mobility in the third cycle, as the education and training of doctoral candidates has a particular role in bridging the EHEA and the European Research Area (ERA);</w:t>
            </w:r>
          </w:p>
          <w:p w:rsidR="007E18DA" w:rsidRDefault="007E18DA" w:rsidP="007E18DA">
            <w:pPr>
              <w:pStyle w:val="Default"/>
              <w:numPr>
                <w:ilvl w:val="0"/>
                <w:numId w:val="4"/>
              </w:numPr>
              <w:rPr>
                <w:rFonts w:ascii="Verdana" w:hAnsi="Verdana"/>
                <w:color w:val="auto"/>
                <w:sz w:val="20"/>
                <w:szCs w:val="20"/>
              </w:rPr>
            </w:pPr>
            <w:r w:rsidRPr="007E18DA">
              <w:rPr>
                <w:rFonts w:ascii="Verdana" w:hAnsi="Verdana"/>
                <w:color w:val="auto"/>
                <w:sz w:val="20"/>
                <w:szCs w:val="20"/>
              </w:rPr>
              <w:t xml:space="preserve">Next to doctoral training, high quality second cycle programs are a </w:t>
            </w:r>
            <w:r w:rsidR="00315C7B" w:rsidRPr="007E18DA">
              <w:rPr>
                <w:rFonts w:ascii="Verdana" w:hAnsi="Verdana"/>
                <w:color w:val="auto"/>
                <w:sz w:val="20"/>
                <w:szCs w:val="20"/>
              </w:rPr>
              <w:t>necessary precondition</w:t>
            </w:r>
            <w:r w:rsidRPr="007E18DA">
              <w:rPr>
                <w:rFonts w:ascii="Verdana" w:hAnsi="Verdana"/>
                <w:color w:val="auto"/>
                <w:sz w:val="20"/>
                <w:szCs w:val="20"/>
              </w:rPr>
              <w:t xml:space="preserve"> for the success of linking teaching, learning and research. Keeping wide diversity and simultaneously increasing readability, we might also explore further possible common</w:t>
            </w:r>
            <w:r w:rsidR="00315C7B">
              <w:rPr>
                <w:rFonts w:ascii="Verdana" w:hAnsi="Verdana"/>
                <w:color w:val="auto"/>
                <w:sz w:val="20"/>
                <w:szCs w:val="20"/>
              </w:rPr>
              <w:t xml:space="preserve"> principles for master programs</w:t>
            </w:r>
            <w:r w:rsidRPr="007E18DA">
              <w:rPr>
                <w:rFonts w:ascii="Verdana" w:hAnsi="Verdana"/>
                <w:color w:val="auto"/>
                <w:sz w:val="20"/>
                <w:szCs w:val="20"/>
              </w:rPr>
              <w:t xml:space="preserve"> in the EHEA, taking account of previous work.</w:t>
            </w:r>
          </w:p>
          <w:p w:rsidR="003446D1" w:rsidRPr="00AE0C73" w:rsidRDefault="003446D1" w:rsidP="003446D1">
            <w:pPr>
              <w:pStyle w:val="Default"/>
              <w:rPr>
                <w:rFonts w:ascii="Verdana" w:hAnsi="Verdana"/>
                <w:b/>
                <w:color w:val="auto"/>
                <w:sz w:val="20"/>
                <w:szCs w:val="20"/>
              </w:rPr>
            </w:pPr>
            <w:r w:rsidRPr="00AE0C73">
              <w:rPr>
                <w:rFonts w:ascii="Verdana" w:hAnsi="Verdana"/>
                <w:b/>
                <w:color w:val="auto"/>
                <w:sz w:val="20"/>
                <w:szCs w:val="20"/>
              </w:rPr>
              <w:t>“</w:t>
            </w:r>
            <w:r w:rsidR="000E3F6D" w:rsidRPr="00AE0C73">
              <w:rPr>
                <w:rFonts w:ascii="Verdana" w:hAnsi="Verdana"/>
                <w:b/>
                <w:color w:val="auto"/>
                <w:sz w:val="20"/>
                <w:szCs w:val="20"/>
              </w:rPr>
              <w:t>Strengthening</w:t>
            </w:r>
            <w:r w:rsidR="00FB7E90" w:rsidRPr="00AE0C73">
              <w:rPr>
                <w:rFonts w:ascii="Verdana" w:hAnsi="Verdana"/>
                <w:b/>
                <w:color w:val="auto"/>
                <w:sz w:val="20"/>
                <w:szCs w:val="20"/>
              </w:rPr>
              <w:t xml:space="preserve"> mobility for better learning”</w:t>
            </w:r>
          </w:p>
          <w:p w:rsidR="00FB7E90" w:rsidRPr="00AE0C73" w:rsidRDefault="00AE0C73" w:rsidP="00AE0C73">
            <w:pPr>
              <w:pStyle w:val="Default"/>
              <w:numPr>
                <w:ilvl w:val="0"/>
                <w:numId w:val="7"/>
              </w:numPr>
              <w:rPr>
                <w:rFonts w:ascii="Verdana" w:hAnsi="Verdana"/>
                <w:color w:val="auto"/>
                <w:sz w:val="20"/>
                <w:szCs w:val="20"/>
              </w:rPr>
            </w:pPr>
            <w:r w:rsidRPr="00AE0C73">
              <w:rPr>
                <w:rFonts w:ascii="Verdana" w:hAnsi="Verdana"/>
                <w:color w:val="auto"/>
                <w:sz w:val="20"/>
                <w:szCs w:val="20"/>
              </w:rPr>
              <w:t>We are determined to remove outstanding obstacles hindering effective and proper recognition and are willing to work together towards the automatic recognition of comparable academic degrees, building on the tools of the Bologna framework, as a long-term goal of the EHEA.</w:t>
            </w:r>
          </w:p>
          <w:p w:rsidR="007E18DA" w:rsidRPr="00BB1928" w:rsidRDefault="007E18DA" w:rsidP="007E18DA">
            <w:pPr>
              <w:pStyle w:val="Default"/>
              <w:rPr>
                <w:rFonts w:ascii="Verdana" w:hAnsi="Verdana"/>
                <w:b/>
                <w:color w:val="auto"/>
                <w:sz w:val="20"/>
                <w:szCs w:val="20"/>
              </w:rPr>
            </w:pPr>
            <w:r w:rsidRPr="00BB1928">
              <w:rPr>
                <w:rFonts w:ascii="Verdana" w:hAnsi="Verdana"/>
                <w:b/>
                <w:color w:val="auto"/>
                <w:sz w:val="20"/>
                <w:szCs w:val="20"/>
              </w:rPr>
              <w:t>“</w:t>
            </w:r>
            <w:r w:rsidR="00F40D0C">
              <w:rPr>
                <w:rFonts w:ascii="Verdana" w:hAnsi="Verdana"/>
                <w:b/>
                <w:color w:val="auto"/>
                <w:sz w:val="20"/>
                <w:szCs w:val="20"/>
              </w:rPr>
              <w:t>Setting out priorities for 2012–</w:t>
            </w:r>
            <w:r w:rsidRPr="00BB1928">
              <w:rPr>
                <w:rFonts w:ascii="Verdana" w:hAnsi="Verdana"/>
                <w:b/>
                <w:color w:val="auto"/>
                <w:sz w:val="20"/>
                <w:szCs w:val="20"/>
              </w:rPr>
              <w:t>2015”</w:t>
            </w:r>
          </w:p>
          <w:p w:rsidR="001C4339" w:rsidRPr="00BB1928" w:rsidRDefault="007E18DA" w:rsidP="00BB1928">
            <w:pPr>
              <w:pStyle w:val="Default"/>
              <w:numPr>
                <w:ilvl w:val="0"/>
                <w:numId w:val="6"/>
              </w:numPr>
              <w:rPr>
                <w:rFonts w:ascii="Verdana" w:hAnsi="Verdana"/>
                <w:color w:val="auto"/>
                <w:sz w:val="20"/>
                <w:szCs w:val="20"/>
              </w:rPr>
            </w:pPr>
            <w:r w:rsidRPr="007E18DA">
              <w:rPr>
                <w:rFonts w:ascii="Verdana" w:hAnsi="Verdana"/>
                <w:color w:val="auto"/>
                <w:sz w:val="20"/>
                <w:szCs w:val="20"/>
              </w:rPr>
              <w:t xml:space="preserve">Promote quality, transparency, employability and mobility in the third cycle, </w:t>
            </w:r>
            <w:r>
              <w:rPr>
                <w:rFonts w:ascii="Verdana" w:hAnsi="Verdana"/>
                <w:color w:val="auto"/>
                <w:sz w:val="20"/>
                <w:szCs w:val="20"/>
              </w:rPr>
              <w:t>w</w:t>
            </w:r>
            <w:r w:rsidRPr="007E18DA">
              <w:rPr>
                <w:rFonts w:ascii="Verdana" w:hAnsi="Verdana"/>
                <w:color w:val="auto"/>
                <w:sz w:val="20"/>
                <w:szCs w:val="20"/>
              </w:rPr>
              <w:t>hile also building additional bridges between the EHEA and the ERA</w:t>
            </w:r>
            <w:r>
              <w:rPr>
                <w:rFonts w:ascii="Verdana" w:hAnsi="Verdana"/>
                <w:color w:val="auto"/>
                <w:sz w:val="20"/>
                <w:szCs w:val="20"/>
              </w:rPr>
              <w:t>.</w:t>
            </w:r>
          </w:p>
        </w:tc>
      </w:tr>
      <w:tr w:rsidR="001C4339" w:rsidRPr="000E08E2">
        <w:trPr>
          <w:trHeight w:val="1374"/>
        </w:trPr>
        <w:tc>
          <w:tcPr>
            <w:tcW w:w="9540" w:type="dxa"/>
          </w:tcPr>
          <w:p w:rsidR="001C4339" w:rsidRPr="000E08E2" w:rsidRDefault="001C4339" w:rsidP="001C4339">
            <w:pPr>
              <w:rPr>
                <w:rFonts w:ascii="Verdana" w:hAnsi="Verdana"/>
                <w:b/>
                <w:sz w:val="20"/>
                <w:szCs w:val="20"/>
              </w:rPr>
            </w:pPr>
            <w:r w:rsidRPr="000E08E2">
              <w:rPr>
                <w:rFonts w:ascii="Verdana" w:hAnsi="Verdana"/>
                <w:b/>
                <w:sz w:val="20"/>
                <w:szCs w:val="20"/>
              </w:rPr>
              <w:lastRenderedPageBreak/>
              <w:t xml:space="preserve">Specific tasks </w:t>
            </w:r>
          </w:p>
          <w:p w:rsidR="008A59CE" w:rsidRPr="008A59CE" w:rsidRDefault="008A59CE" w:rsidP="001C4339">
            <w:pPr>
              <w:numPr>
                <w:ilvl w:val="0"/>
                <w:numId w:val="1"/>
              </w:numPr>
              <w:jc w:val="both"/>
              <w:rPr>
                <w:rFonts w:ascii="Verdana" w:hAnsi="Verdana"/>
                <w:sz w:val="20"/>
                <w:szCs w:val="20"/>
                <w:lang w:val="en-US"/>
              </w:rPr>
            </w:pPr>
            <w:r>
              <w:rPr>
                <w:rFonts w:ascii="Verdana" w:hAnsi="Verdana"/>
                <w:sz w:val="20"/>
                <w:szCs w:val="20"/>
                <w:lang w:val="en-US"/>
              </w:rPr>
              <w:t>Third cycle</w:t>
            </w:r>
          </w:p>
          <w:p w:rsidR="008A59CE" w:rsidRPr="008A59CE" w:rsidRDefault="00AE0C73" w:rsidP="008A59CE">
            <w:pPr>
              <w:numPr>
                <w:ilvl w:val="1"/>
                <w:numId w:val="1"/>
              </w:numPr>
              <w:jc w:val="both"/>
              <w:rPr>
                <w:rFonts w:ascii="Verdana" w:hAnsi="Verdana"/>
                <w:sz w:val="20"/>
                <w:szCs w:val="20"/>
                <w:lang w:val="en-US"/>
              </w:rPr>
            </w:pPr>
            <w:r>
              <w:rPr>
                <w:rFonts w:ascii="Verdana" w:hAnsi="Verdana"/>
                <w:sz w:val="20"/>
                <w:szCs w:val="20"/>
              </w:rPr>
              <w:t>In cooperation with EUA and the Commission, a</w:t>
            </w:r>
            <w:r w:rsidR="008A59CE" w:rsidRPr="008A59CE">
              <w:rPr>
                <w:rFonts w:ascii="Verdana" w:hAnsi="Verdana"/>
                <w:sz w:val="20"/>
                <w:szCs w:val="20"/>
              </w:rPr>
              <w:t>nalyse the two reference documents – the Salzburg II Principles and the Principles for Innovative Doctoral Training – to evidence syner</w:t>
            </w:r>
            <w:r w:rsidR="008A59CE">
              <w:rPr>
                <w:rFonts w:ascii="Verdana" w:hAnsi="Verdana"/>
                <w:sz w:val="20"/>
                <w:szCs w:val="20"/>
              </w:rPr>
              <w:t>gies and interactions</w:t>
            </w:r>
            <w:r w:rsidR="001C4339" w:rsidRPr="008A59CE">
              <w:rPr>
                <w:rFonts w:ascii="Verdana" w:hAnsi="Verdana"/>
                <w:sz w:val="20"/>
                <w:szCs w:val="20"/>
              </w:rPr>
              <w:t>;</w:t>
            </w:r>
          </w:p>
          <w:p w:rsidR="003E1241" w:rsidRPr="003E1241" w:rsidRDefault="008A59CE" w:rsidP="003E1241">
            <w:pPr>
              <w:numPr>
                <w:ilvl w:val="1"/>
                <w:numId w:val="1"/>
              </w:numPr>
              <w:jc w:val="both"/>
              <w:rPr>
                <w:rFonts w:ascii="Verdana" w:hAnsi="Verdana"/>
                <w:sz w:val="20"/>
                <w:szCs w:val="20"/>
                <w:lang w:val="en-US"/>
              </w:rPr>
            </w:pPr>
            <w:r>
              <w:rPr>
                <w:rFonts w:ascii="Verdana" w:hAnsi="Verdana"/>
                <w:sz w:val="20"/>
                <w:szCs w:val="20"/>
              </w:rPr>
              <w:t>Map the diverse kind of third cycle degrees offered, with a specific focus on Doctoral Degrees and their profiles</w:t>
            </w:r>
            <w:r w:rsidR="00AE0C73">
              <w:rPr>
                <w:rFonts w:ascii="Verdana" w:hAnsi="Verdana"/>
                <w:sz w:val="20"/>
                <w:szCs w:val="20"/>
              </w:rPr>
              <w:t>, starting from the information provided by the existing National Qualifications Frameworks</w:t>
            </w:r>
            <w:r>
              <w:rPr>
                <w:rFonts w:ascii="Verdana" w:hAnsi="Verdana"/>
                <w:sz w:val="20"/>
                <w:szCs w:val="20"/>
              </w:rPr>
              <w:t>;</w:t>
            </w:r>
          </w:p>
          <w:p w:rsidR="003446D1" w:rsidRPr="003446D1" w:rsidRDefault="003E1241" w:rsidP="008A59CE">
            <w:pPr>
              <w:numPr>
                <w:ilvl w:val="1"/>
                <w:numId w:val="1"/>
              </w:numPr>
              <w:jc w:val="both"/>
              <w:rPr>
                <w:rFonts w:ascii="Verdana" w:hAnsi="Verdana"/>
                <w:sz w:val="20"/>
                <w:szCs w:val="20"/>
                <w:lang w:val="en-US"/>
              </w:rPr>
            </w:pPr>
            <w:r>
              <w:rPr>
                <w:rFonts w:ascii="Verdana" w:hAnsi="Verdana"/>
                <w:sz w:val="20"/>
                <w:szCs w:val="20"/>
              </w:rPr>
              <w:t>Formulate policy proposals on</w:t>
            </w:r>
            <w:r w:rsidR="008A59CE">
              <w:rPr>
                <w:rFonts w:ascii="Verdana" w:hAnsi="Verdana"/>
                <w:sz w:val="20"/>
                <w:szCs w:val="20"/>
              </w:rPr>
              <w:t xml:space="preserve"> the possibility of using transparency instruments, especially ECTS credits and the Diploma Supplement, for third cycle degrees, based on existing good practices in the field</w:t>
            </w:r>
            <w:r>
              <w:rPr>
                <w:rFonts w:ascii="Verdana" w:hAnsi="Verdana"/>
                <w:sz w:val="20"/>
                <w:szCs w:val="20"/>
              </w:rPr>
              <w:t>, and</w:t>
            </w:r>
            <w:r w:rsidR="003446D1">
              <w:rPr>
                <w:rFonts w:ascii="Verdana" w:hAnsi="Verdana"/>
                <w:sz w:val="20"/>
                <w:szCs w:val="20"/>
              </w:rPr>
              <w:t xml:space="preserve"> propose </w:t>
            </w:r>
            <w:r>
              <w:rPr>
                <w:rFonts w:ascii="Verdana" w:hAnsi="Verdana"/>
                <w:sz w:val="20"/>
                <w:szCs w:val="20"/>
              </w:rPr>
              <w:t>integrations for</w:t>
            </w:r>
            <w:r w:rsidR="00AE0C73">
              <w:rPr>
                <w:rFonts w:ascii="Verdana" w:hAnsi="Verdana"/>
                <w:sz w:val="20"/>
                <w:szCs w:val="20"/>
              </w:rPr>
              <w:t xml:space="preserve"> the revision of the ECTS User’s Guide</w:t>
            </w:r>
            <w:r w:rsidR="008A59CE">
              <w:rPr>
                <w:rFonts w:ascii="Verdana" w:hAnsi="Verdana"/>
                <w:sz w:val="20"/>
                <w:szCs w:val="20"/>
              </w:rPr>
              <w:t>;</w:t>
            </w:r>
            <w:r w:rsidR="003446D1">
              <w:rPr>
                <w:rFonts w:ascii="Verdana" w:hAnsi="Verdana"/>
                <w:sz w:val="20"/>
                <w:szCs w:val="20"/>
              </w:rPr>
              <w:t xml:space="preserve"> </w:t>
            </w:r>
          </w:p>
          <w:p w:rsidR="001C4339" w:rsidRPr="003446D1" w:rsidRDefault="003446D1" w:rsidP="008A59CE">
            <w:pPr>
              <w:numPr>
                <w:ilvl w:val="1"/>
                <w:numId w:val="1"/>
              </w:numPr>
              <w:jc w:val="both"/>
              <w:rPr>
                <w:rFonts w:ascii="Verdana" w:hAnsi="Verdana"/>
                <w:sz w:val="20"/>
                <w:szCs w:val="20"/>
                <w:lang w:val="en-US"/>
              </w:rPr>
            </w:pPr>
            <w:r>
              <w:rPr>
                <w:rFonts w:ascii="Verdana" w:hAnsi="Verdana"/>
                <w:sz w:val="20"/>
                <w:szCs w:val="20"/>
              </w:rPr>
              <w:t xml:space="preserve">Analyse the results achieved by the different kind of third cycle degrees offered, with a specific focus on Doctoral Degrees, in terms of employability and mobility and </w:t>
            </w:r>
            <w:r w:rsidR="00AE0C73">
              <w:rPr>
                <w:rFonts w:ascii="Verdana" w:hAnsi="Verdana"/>
                <w:sz w:val="20"/>
                <w:szCs w:val="20"/>
              </w:rPr>
              <w:t>define policy proposals</w:t>
            </w:r>
            <w:r>
              <w:rPr>
                <w:rFonts w:ascii="Verdana" w:hAnsi="Verdana"/>
                <w:sz w:val="20"/>
                <w:szCs w:val="20"/>
              </w:rPr>
              <w:t xml:space="preserve"> for improvement;</w:t>
            </w:r>
          </w:p>
          <w:p w:rsidR="003446D1" w:rsidRDefault="003446D1" w:rsidP="008A59CE">
            <w:pPr>
              <w:numPr>
                <w:ilvl w:val="1"/>
                <w:numId w:val="1"/>
              </w:numPr>
              <w:jc w:val="both"/>
              <w:rPr>
                <w:rFonts w:ascii="Verdana" w:hAnsi="Verdana"/>
                <w:sz w:val="20"/>
                <w:szCs w:val="20"/>
                <w:lang w:val="en-US"/>
              </w:rPr>
            </w:pPr>
            <w:r>
              <w:rPr>
                <w:rFonts w:ascii="Verdana" w:hAnsi="Verdana"/>
                <w:sz w:val="20"/>
                <w:szCs w:val="20"/>
                <w:lang w:val="en-US"/>
              </w:rPr>
              <w:t>Explore, especially in cooperation with QA Agencies</w:t>
            </w:r>
            <w:r w:rsidR="00EF23B7">
              <w:rPr>
                <w:rFonts w:ascii="Verdana" w:hAnsi="Verdana"/>
                <w:sz w:val="20"/>
                <w:szCs w:val="20"/>
                <w:lang w:val="en-US"/>
              </w:rPr>
              <w:t xml:space="preserve"> and with the European Research Council</w:t>
            </w:r>
            <w:r>
              <w:rPr>
                <w:rFonts w:ascii="Verdana" w:hAnsi="Verdana"/>
                <w:sz w:val="20"/>
                <w:szCs w:val="20"/>
                <w:lang w:val="en-US"/>
              </w:rPr>
              <w:t xml:space="preserve">, the opportunity to have guidelines </w:t>
            </w:r>
            <w:r w:rsidR="00EF23B7">
              <w:rPr>
                <w:rFonts w:ascii="Verdana" w:hAnsi="Verdana"/>
                <w:sz w:val="20"/>
                <w:szCs w:val="20"/>
                <w:lang w:val="en-US"/>
              </w:rPr>
              <w:t xml:space="preserve">to improve quality and </w:t>
            </w:r>
            <w:r>
              <w:rPr>
                <w:rFonts w:ascii="Verdana" w:hAnsi="Verdana"/>
                <w:sz w:val="20"/>
                <w:szCs w:val="20"/>
                <w:lang w:val="en-US"/>
              </w:rPr>
              <w:t xml:space="preserve">QA </w:t>
            </w:r>
            <w:r w:rsidR="00EF23B7">
              <w:rPr>
                <w:rFonts w:ascii="Verdana" w:hAnsi="Verdana"/>
                <w:sz w:val="20"/>
                <w:szCs w:val="20"/>
                <w:lang w:val="en-US"/>
              </w:rPr>
              <w:t xml:space="preserve">procedures </w:t>
            </w:r>
            <w:r>
              <w:rPr>
                <w:rFonts w:ascii="Verdana" w:hAnsi="Verdana"/>
                <w:sz w:val="20"/>
                <w:szCs w:val="20"/>
                <w:lang w:val="en-US"/>
              </w:rPr>
              <w:t>in Doctoral Training;</w:t>
            </w:r>
          </w:p>
          <w:p w:rsidR="003E1241" w:rsidRDefault="003E1241" w:rsidP="008A59CE">
            <w:pPr>
              <w:numPr>
                <w:ilvl w:val="1"/>
                <w:numId w:val="1"/>
              </w:numPr>
              <w:jc w:val="both"/>
              <w:rPr>
                <w:rFonts w:ascii="Verdana" w:hAnsi="Verdana"/>
                <w:sz w:val="20"/>
                <w:szCs w:val="20"/>
                <w:lang w:val="en-US"/>
              </w:rPr>
            </w:pPr>
            <w:r>
              <w:rPr>
                <w:rFonts w:ascii="Verdana" w:hAnsi="Verdana"/>
                <w:sz w:val="20"/>
                <w:szCs w:val="20"/>
                <w:lang w:val="en-US"/>
              </w:rPr>
              <w:t xml:space="preserve">Propose a set of policy recommendation </w:t>
            </w:r>
            <w:r w:rsidR="00AE0C73">
              <w:rPr>
                <w:rFonts w:ascii="Verdana" w:hAnsi="Verdana"/>
                <w:sz w:val="20"/>
                <w:szCs w:val="20"/>
                <w:lang w:val="en-US"/>
              </w:rPr>
              <w:t>to</w:t>
            </w:r>
            <w:r>
              <w:rPr>
                <w:rFonts w:ascii="Verdana" w:hAnsi="Verdana"/>
                <w:sz w:val="20"/>
                <w:szCs w:val="20"/>
                <w:lang w:val="en-US"/>
              </w:rPr>
              <w:t xml:space="preserve"> eliminate existing barriers and prevent new ones for recognition and accreditation of Doctoral Degrees, to</w:t>
            </w:r>
            <w:r w:rsidR="00AE0C73">
              <w:rPr>
                <w:rFonts w:ascii="Verdana" w:hAnsi="Verdana"/>
                <w:sz w:val="20"/>
                <w:szCs w:val="20"/>
                <w:lang w:val="en-US"/>
              </w:rPr>
              <w:t xml:space="preserve"> contribute to the long term achievement of the automatic recognition of academic degrees</w:t>
            </w:r>
            <w:r>
              <w:rPr>
                <w:rFonts w:ascii="Verdana" w:hAnsi="Verdana"/>
                <w:sz w:val="20"/>
                <w:szCs w:val="20"/>
                <w:lang w:val="en-US"/>
              </w:rPr>
              <w:t xml:space="preserve">; </w:t>
            </w:r>
          </w:p>
          <w:p w:rsidR="003446D1" w:rsidRPr="008A59CE" w:rsidRDefault="003E1241" w:rsidP="008A59CE">
            <w:pPr>
              <w:numPr>
                <w:ilvl w:val="1"/>
                <w:numId w:val="1"/>
              </w:numPr>
              <w:jc w:val="both"/>
              <w:rPr>
                <w:rFonts w:ascii="Verdana" w:hAnsi="Verdana"/>
                <w:sz w:val="20"/>
                <w:szCs w:val="20"/>
                <w:lang w:val="en-US"/>
              </w:rPr>
            </w:pPr>
            <w:r>
              <w:rPr>
                <w:rFonts w:ascii="Verdana" w:hAnsi="Verdana"/>
                <w:sz w:val="20"/>
                <w:szCs w:val="20"/>
                <w:lang w:val="en-US"/>
              </w:rPr>
              <w:t>P</w:t>
            </w:r>
            <w:r w:rsidR="00AE0C73">
              <w:rPr>
                <w:rFonts w:ascii="Verdana" w:hAnsi="Verdana"/>
                <w:sz w:val="20"/>
                <w:szCs w:val="20"/>
                <w:lang w:val="en-US"/>
              </w:rPr>
              <w:t>rop</w:t>
            </w:r>
            <w:r w:rsidR="00992609">
              <w:rPr>
                <w:rFonts w:ascii="Verdana" w:hAnsi="Verdana"/>
                <w:sz w:val="20"/>
                <w:szCs w:val="20"/>
                <w:lang w:val="en-US"/>
              </w:rPr>
              <w:t xml:space="preserve">ose a set of policy recommendations for Ministerial approval. The recommendations could include a set of principles for Doctoral Degrees </w:t>
            </w:r>
            <w:r w:rsidR="00EF23B7">
              <w:rPr>
                <w:rFonts w:ascii="Verdana" w:hAnsi="Verdana"/>
                <w:sz w:val="20"/>
                <w:szCs w:val="20"/>
                <w:lang w:val="en-US"/>
              </w:rPr>
              <w:t xml:space="preserve">in the European Higher Education Area, </w:t>
            </w:r>
            <w:r w:rsidR="00992609">
              <w:rPr>
                <w:rFonts w:ascii="Verdana" w:hAnsi="Verdana"/>
                <w:sz w:val="20"/>
                <w:szCs w:val="20"/>
                <w:lang w:val="en-US"/>
              </w:rPr>
              <w:t>as requested for second cycle degrees.</w:t>
            </w:r>
          </w:p>
          <w:p w:rsidR="001C4339" w:rsidRPr="00992609" w:rsidRDefault="00992609" w:rsidP="00AE0C73">
            <w:pPr>
              <w:numPr>
                <w:ilvl w:val="0"/>
                <w:numId w:val="1"/>
              </w:numPr>
              <w:jc w:val="both"/>
              <w:rPr>
                <w:rFonts w:ascii="Verdana" w:hAnsi="Verdana"/>
                <w:sz w:val="20"/>
                <w:szCs w:val="20"/>
              </w:rPr>
            </w:pPr>
            <w:r>
              <w:rPr>
                <w:rFonts w:ascii="Verdana" w:hAnsi="Verdana"/>
                <w:sz w:val="20"/>
                <w:szCs w:val="20"/>
                <w:lang w:val="en-US"/>
              </w:rPr>
              <w:t>Second cycle</w:t>
            </w:r>
          </w:p>
          <w:p w:rsidR="00992609" w:rsidRPr="00992609" w:rsidRDefault="00992609" w:rsidP="00992609">
            <w:pPr>
              <w:numPr>
                <w:ilvl w:val="1"/>
                <w:numId w:val="1"/>
              </w:numPr>
              <w:rPr>
                <w:rFonts w:ascii="Verdana" w:hAnsi="Verdana"/>
                <w:sz w:val="20"/>
                <w:szCs w:val="20"/>
              </w:rPr>
            </w:pPr>
            <w:r w:rsidRPr="00992609">
              <w:rPr>
                <w:rFonts w:ascii="Verdana" w:hAnsi="Verdana"/>
                <w:sz w:val="20"/>
                <w:szCs w:val="20"/>
              </w:rPr>
              <w:t xml:space="preserve">Map the diverse kind of </w:t>
            </w:r>
            <w:r>
              <w:rPr>
                <w:rFonts w:ascii="Verdana" w:hAnsi="Verdana"/>
                <w:sz w:val="20"/>
                <w:szCs w:val="20"/>
              </w:rPr>
              <w:t>second</w:t>
            </w:r>
            <w:r w:rsidRPr="00992609">
              <w:rPr>
                <w:rFonts w:ascii="Verdana" w:hAnsi="Verdana"/>
                <w:sz w:val="20"/>
                <w:szCs w:val="20"/>
              </w:rPr>
              <w:t xml:space="preserve"> cycle degrees offered, with a </w:t>
            </w:r>
            <w:r w:rsidRPr="00992609">
              <w:rPr>
                <w:rFonts w:ascii="Verdana" w:hAnsi="Verdana"/>
                <w:sz w:val="20"/>
                <w:szCs w:val="20"/>
              </w:rPr>
              <w:lastRenderedPageBreak/>
              <w:t>specific focus on Doctoral Degrees and their profiles, starting from the information provided by the existing National Qualifications Frameworks;</w:t>
            </w:r>
          </w:p>
          <w:p w:rsidR="00992609" w:rsidRDefault="003E1241" w:rsidP="00992609">
            <w:pPr>
              <w:numPr>
                <w:ilvl w:val="1"/>
                <w:numId w:val="1"/>
              </w:numPr>
              <w:jc w:val="both"/>
              <w:rPr>
                <w:rFonts w:ascii="Verdana" w:hAnsi="Verdana"/>
                <w:sz w:val="20"/>
                <w:szCs w:val="20"/>
              </w:rPr>
            </w:pPr>
            <w:r>
              <w:rPr>
                <w:rFonts w:ascii="Verdana" w:hAnsi="Verdana"/>
                <w:sz w:val="20"/>
                <w:szCs w:val="20"/>
              </w:rPr>
              <w:t>Map good practices to increase readability of second cycle degrees;</w:t>
            </w:r>
          </w:p>
          <w:p w:rsidR="003E1241" w:rsidRDefault="003E1241" w:rsidP="003E1241">
            <w:pPr>
              <w:numPr>
                <w:ilvl w:val="1"/>
                <w:numId w:val="1"/>
              </w:numPr>
              <w:jc w:val="both"/>
              <w:rPr>
                <w:rFonts w:ascii="Verdana" w:hAnsi="Verdana"/>
                <w:sz w:val="20"/>
                <w:szCs w:val="20"/>
              </w:rPr>
            </w:pPr>
            <w:r>
              <w:rPr>
                <w:rFonts w:ascii="Verdana" w:hAnsi="Verdana"/>
                <w:sz w:val="20"/>
                <w:szCs w:val="20"/>
              </w:rPr>
              <w:t xml:space="preserve">Explore possible </w:t>
            </w:r>
            <w:r w:rsidR="000E3F6D">
              <w:rPr>
                <w:rFonts w:ascii="Verdana" w:hAnsi="Verdana"/>
                <w:sz w:val="20"/>
                <w:szCs w:val="20"/>
              </w:rPr>
              <w:t>synergies</w:t>
            </w:r>
            <w:r>
              <w:rPr>
                <w:rFonts w:ascii="Verdana" w:hAnsi="Verdana"/>
                <w:sz w:val="20"/>
                <w:szCs w:val="20"/>
              </w:rPr>
              <w:t xml:space="preserve"> between non – mainstreamed second </w:t>
            </w:r>
            <w:r w:rsidR="000E3F6D">
              <w:rPr>
                <w:rFonts w:ascii="Verdana" w:hAnsi="Verdana"/>
                <w:sz w:val="20"/>
                <w:szCs w:val="20"/>
              </w:rPr>
              <w:t>cycle</w:t>
            </w:r>
            <w:r>
              <w:rPr>
                <w:rFonts w:ascii="Verdana" w:hAnsi="Verdana"/>
                <w:sz w:val="20"/>
                <w:szCs w:val="20"/>
              </w:rPr>
              <w:t xml:space="preserve"> degrees and third cycle degrees, keeping into account specificities of regulated professions for EU countries;</w:t>
            </w:r>
          </w:p>
          <w:p w:rsidR="003E1241" w:rsidRPr="003E1241" w:rsidRDefault="000E3F6D" w:rsidP="003E1241">
            <w:pPr>
              <w:numPr>
                <w:ilvl w:val="1"/>
                <w:numId w:val="1"/>
              </w:numPr>
              <w:jc w:val="both"/>
              <w:rPr>
                <w:rFonts w:ascii="Verdana" w:hAnsi="Verdana"/>
                <w:sz w:val="20"/>
                <w:szCs w:val="20"/>
              </w:rPr>
            </w:pPr>
            <w:r>
              <w:rPr>
                <w:rFonts w:ascii="Verdana" w:hAnsi="Verdana"/>
                <w:sz w:val="20"/>
                <w:szCs w:val="20"/>
              </w:rPr>
              <w:t>Explore the possibility for common principles for second cycle degrees, building on existing transparency instruments and safeguarding their diversity.</w:t>
            </w:r>
          </w:p>
        </w:tc>
      </w:tr>
      <w:tr w:rsidR="001C4339" w:rsidRPr="000E08E2">
        <w:trPr>
          <w:trHeight w:val="793"/>
        </w:trPr>
        <w:tc>
          <w:tcPr>
            <w:tcW w:w="9540" w:type="dxa"/>
          </w:tcPr>
          <w:p w:rsidR="001C4339" w:rsidRPr="000E08E2" w:rsidRDefault="001C4339" w:rsidP="001C4339">
            <w:pPr>
              <w:spacing w:after="120"/>
              <w:jc w:val="both"/>
              <w:rPr>
                <w:rFonts w:ascii="Verdana" w:hAnsi="Verdana"/>
                <w:b/>
                <w:sz w:val="20"/>
                <w:szCs w:val="20"/>
              </w:rPr>
            </w:pPr>
            <w:r w:rsidRPr="000E08E2">
              <w:rPr>
                <w:rFonts w:ascii="Verdana" w:hAnsi="Verdana"/>
                <w:b/>
                <w:sz w:val="20"/>
                <w:szCs w:val="20"/>
              </w:rPr>
              <w:lastRenderedPageBreak/>
              <w:t xml:space="preserve">Reporting </w:t>
            </w:r>
          </w:p>
          <w:p w:rsidR="001C4339" w:rsidRPr="000E08E2" w:rsidRDefault="001C4339" w:rsidP="001C4339">
            <w:pPr>
              <w:jc w:val="both"/>
              <w:rPr>
                <w:rFonts w:ascii="Verdana" w:hAnsi="Verdana"/>
                <w:sz w:val="20"/>
                <w:szCs w:val="20"/>
              </w:rPr>
            </w:pPr>
            <w:r w:rsidRPr="000E08E2">
              <w:rPr>
                <w:rFonts w:ascii="Verdana" w:hAnsi="Verdana"/>
                <w:sz w:val="20"/>
                <w:szCs w:val="20"/>
                <w:u w:val="single"/>
              </w:rPr>
              <w:t>Minutes</w:t>
            </w:r>
            <w:r w:rsidRPr="000E08E2">
              <w:rPr>
                <w:rFonts w:ascii="Verdana" w:hAnsi="Verdana"/>
                <w:sz w:val="20"/>
                <w:szCs w:val="20"/>
              </w:rPr>
              <w:t xml:space="preserve"> of working group meetings will be made available to </w:t>
            </w:r>
            <w:r w:rsidR="000E3F6D">
              <w:rPr>
                <w:rFonts w:ascii="Verdana" w:hAnsi="Verdana"/>
                <w:sz w:val="20"/>
                <w:szCs w:val="20"/>
              </w:rPr>
              <w:t xml:space="preserve">the WG “structure” and to the </w:t>
            </w:r>
            <w:r w:rsidRPr="000E08E2">
              <w:rPr>
                <w:rFonts w:ascii="Verdana" w:hAnsi="Verdana"/>
                <w:sz w:val="20"/>
                <w:szCs w:val="20"/>
              </w:rPr>
              <w:t>BFUG on the protected part of the websit</w:t>
            </w:r>
            <w:r w:rsidR="004D7A0D">
              <w:rPr>
                <w:rFonts w:ascii="Verdana" w:hAnsi="Verdana"/>
                <w:sz w:val="20"/>
                <w:szCs w:val="20"/>
              </w:rPr>
              <w:t>e (by the Bologna Secretariat).</w:t>
            </w:r>
          </w:p>
          <w:p w:rsidR="001C4339" w:rsidRPr="000E08E2" w:rsidRDefault="001C4339" w:rsidP="001C4339">
            <w:pPr>
              <w:jc w:val="both"/>
              <w:rPr>
                <w:rFonts w:ascii="Verdana" w:hAnsi="Verdana"/>
                <w:sz w:val="20"/>
                <w:szCs w:val="20"/>
              </w:rPr>
            </w:pPr>
          </w:p>
          <w:p w:rsidR="000E3F6D" w:rsidRDefault="000E3F6D" w:rsidP="001C4339">
            <w:pPr>
              <w:jc w:val="both"/>
              <w:rPr>
                <w:rFonts w:ascii="Verdana" w:hAnsi="Verdana"/>
                <w:sz w:val="20"/>
                <w:szCs w:val="20"/>
                <w:u w:val="single"/>
              </w:rPr>
            </w:pPr>
            <w:r>
              <w:rPr>
                <w:rFonts w:ascii="Verdana" w:hAnsi="Verdana"/>
                <w:sz w:val="20"/>
                <w:szCs w:val="20"/>
                <w:u w:val="single"/>
              </w:rPr>
              <w:t>Reporting to the WG “structures”</w:t>
            </w:r>
          </w:p>
          <w:p w:rsidR="000E3F6D" w:rsidRDefault="000E3F6D" w:rsidP="001C4339">
            <w:pPr>
              <w:jc w:val="both"/>
              <w:rPr>
                <w:rFonts w:ascii="Verdana" w:hAnsi="Verdana"/>
                <w:sz w:val="20"/>
                <w:szCs w:val="20"/>
              </w:rPr>
            </w:pPr>
            <w:r>
              <w:rPr>
                <w:rFonts w:ascii="Verdana" w:hAnsi="Verdana"/>
                <w:sz w:val="20"/>
                <w:szCs w:val="20"/>
              </w:rPr>
              <w:t>Besides minutes, the Co – Chair</w:t>
            </w:r>
            <w:r w:rsidR="004D7A0D">
              <w:rPr>
                <w:rFonts w:ascii="Verdana" w:hAnsi="Verdana"/>
                <w:sz w:val="20"/>
                <w:szCs w:val="20"/>
              </w:rPr>
              <w:t>s</w:t>
            </w:r>
            <w:r>
              <w:rPr>
                <w:rFonts w:ascii="Verdana" w:hAnsi="Verdana"/>
                <w:sz w:val="20"/>
                <w:szCs w:val="20"/>
              </w:rPr>
              <w:t xml:space="preserve"> of the WG</w:t>
            </w:r>
            <w:r w:rsidR="004D7A0D">
              <w:rPr>
                <w:rFonts w:ascii="Verdana" w:hAnsi="Verdana"/>
                <w:sz w:val="20"/>
                <w:szCs w:val="20"/>
              </w:rPr>
              <w:t xml:space="preserve"> “structure” will receive all the working documents of the sub – structure. One of the two Co – Chair will ensure his/her participation to the WG “structure” meeting.</w:t>
            </w:r>
          </w:p>
          <w:p w:rsidR="004D7A0D" w:rsidRPr="000E3F6D" w:rsidRDefault="004D7A0D" w:rsidP="001C4339">
            <w:pPr>
              <w:jc w:val="both"/>
              <w:rPr>
                <w:rFonts w:ascii="Verdana" w:hAnsi="Verdana"/>
                <w:sz w:val="20"/>
                <w:szCs w:val="20"/>
              </w:rPr>
            </w:pPr>
          </w:p>
          <w:p w:rsidR="001C4339" w:rsidRPr="000E08E2" w:rsidRDefault="001C4339" w:rsidP="001C4339">
            <w:pPr>
              <w:jc w:val="both"/>
              <w:rPr>
                <w:rFonts w:ascii="Verdana" w:hAnsi="Verdana"/>
                <w:sz w:val="20"/>
                <w:szCs w:val="20"/>
              </w:rPr>
            </w:pPr>
            <w:r w:rsidRPr="000E08E2">
              <w:rPr>
                <w:rFonts w:ascii="Verdana" w:hAnsi="Verdana"/>
                <w:sz w:val="20"/>
                <w:szCs w:val="20"/>
                <w:u w:val="single"/>
              </w:rPr>
              <w:t>BFUG reports and updates</w:t>
            </w:r>
            <w:r w:rsidRPr="000E08E2">
              <w:rPr>
                <w:rFonts w:ascii="Verdana" w:hAnsi="Verdana"/>
                <w:sz w:val="20"/>
                <w:szCs w:val="20"/>
              </w:rPr>
              <w:t xml:space="preserve">. </w:t>
            </w:r>
          </w:p>
          <w:p w:rsidR="001C4339" w:rsidRPr="000E08E2" w:rsidRDefault="001C4339" w:rsidP="001C4339">
            <w:pPr>
              <w:jc w:val="both"/>
              <w:rPr>
                <w:rFonts w:ascii="Verdana" w:hAnsi="Verdana"/>
                <w:sz w:val="20"/>
                <w:szCs w:val="20"/>
              </w:rPr>
            </w:pPr>
            <w:r w:rsidRPr="000E08E2">
              <w:rPr>
                <w:rFonts w:ascii="Verdana" w:hAnsi="Verdana"/>
                <w:sz w:val="20"/>
                <w:szCs w:val="20"/>
              </w:rPr>
              <w:t xml:space="preserve">To allow for good communication with BFUG as a whole and for the necessary consultations, </w:t>
            </w:r>
            <w:r w:rsidR="004D7A0D">
              <w:rPr>
                <w:rFonts w:ascii="Verdana" w:hAnsi="Verdana"/>
                <w:sz w:val="20"/>
                <w:szCs w:val="20"/>
              </w:rPr>
              <w:t xml:space="preserve">the sub – structure will contribute to the </w:t>
            </w:r>
            <w:r w:rsidRPr="000E08E2">
              <w:rPr>
                <w:rFonts w:ascii="Verdana" w:hAnsi="Verdana"/>
                <w:sz w:val="20"/>
                <w:szCs w:val="20"/>
              </w:rPr>
              <w:t xml:space="preserve">progress reports </w:t>
            </w:r>
            <w:r w:rsidR="004D7A0D">
              <w:rPr>
                <w:rFonts w:ascii="Verdana" w:hAnsi="Verdana"/>
                <w:sz w:val="20"/>
                <w:szCs w:val="20"/>
              </w:rPr>
              <w:t>of the WG “structure” and will submit at least two weeks before BFUG meeting any document for approval</w:t>
            </w:r>
            <w:r w:rsidRPr="000E08E2">
              <w:rPr>
                <w:rFonts w:ascii="Verdana" w:hAnsi="Verdana"/>
                <w:sz w:val="20"/>
                <w:szCs w:val="20"/>
              </w:rPr>
              <w:t xml:space="preserve">.  </w:t>
            </w:r>
          </w:p>
          <w:p w:rsidR="001C4339" w:rsidRPr="000E08E2" w:rsidRDefault="001C4339" w:rsidP="001C4339">
            <w:pPr>
              <w:rPr>
                <w:rFonts w:ascii="Verdana" w:hAnsi="Verdana"/>
                <w:sz w:val="20"/>
                <w:szCs w:val="20"/>
              </w:rPr>
            </w:pPr>
          </w:p>
          <w:p w:rsidR="001C4339" w:rsidRPr="000E08E2" w:rsidRDefault="001C4339" w:rsidP="001C4339">
            <w:pPr>
              <w:rPr>
                <w:rFonts w:ascii="Verdana" w:hAnsi="Verdana"/>
                <w:b/>
                <w:sz w:val="20"/>
                <w:szCs w:val="20"/>
              </w:rPr>
            </w:pPr>
            <w:r>
              <w:rPr>
                <w:rFonts w:ascii="Verdana" w:hAnsi="Verdana"/>
                <w:b/>
                <w:sz w:val="20"/>
                <w:szCs w:val="20"/>
              </w:rPr>
              <w:t>The draft final report/</w:t>
            </w:r>
            <w:r w:rsidRPr="000E08E2">
              <w:rPr>
                <w:rFonts w:ascii="Verdana" w:hAnsi="Verdana"/>
                <w:b/>
                <w:sz w:val="20"/>
                <w:szCs w:val="20"/>
              </w:rPr>
              <w:t>conclusions will be presented and discussed no later than the BFUG meeting in the second half of 201</w:t>
            </w:r>
            <w:r>
              <w:rPr>
                <w:rFonts w:ascii="Verdana" w:hAnsi="Verdana"/>
                <w:b/>
                <w:sz w:val="20"/>
                <w:szCs w:val="20"/>
              </w:rPr>
              <w:t>4</w:t>
            </w:r>
            <w:r w:rsidRPr="000E08E2">
              <w:rPr>
                <w:rFonts w:ascii="Verdana" w:hAnsi="Verdana"/>
                <w:b/>
                <w:sz w:val="20"/>
                <w:szCs w:val="20"/>
              </w:rPr>
              <w:t>.</w:t>
            </w:r>
          </w:p>
        </w:tc>
      </w:tr>
      <w:tr w:rsidR="001C4339" w:rsidRPr="000E08E2">
        <w:trPr>
          <w:trHeight w:val="1339"/>
        </w:trPr>
        <w:tc>
          <w:tcPr>
            <w:tcW w:w="9540" w:type="dxa"/>
          </w:tcPr>
          <w:p w:rsidR="001C4339" w:rsidRPr="000E08E2" w:rsidRDefault="001C4339" w:rsidP="001C4339">
            <w:pPr>
              <w:spacing w:after="120"/>
              <w:rPr>
                <w:rFonts w:ascii="Verdana" w:hAnsi="Verdana"/>
                <w:sz w:val="20"/>
                <w:szCs w:val="20"/>
              </w:rPr>
            </w:pPr>
            <w:r w:rsidRPr="000E08E2">
              <w:rPr>
                <w:rFonts w:ascii="Verdana" w:hAnsi="Verdana"/>
                <w:b/>
                <w:sz w:val="20"/>
                <w:szCs w:val="20"/>
              </w:rPr>
              <w:t>Meeting schedule</w:t>
            </w:r>
            <w:r>
              <w:rPr>
                <w:rFonts w:ascii="Verdana" w:hAnsi="Verdana"/>
                <w:b/>
                <w:sz w:val="20"/>
                <w:szCs w:val="20"/>
              </w:rPr>
              <w:t xml:space="preserve">: </w:t>
            </w:r>
            <w:r w:rsidRPr="000E08E2">
              <w:rPr>
                <w:rFonts w:ascii="Verdana" w:hAnsi="Verdana"/>
                <w:b/>
                <w:sz w:val="20"/>
                <w:szCs w:val="20"/>
              </w:rPr>
              <w:t xml:space="preserve"> </w:t>
            </w:r>
          </w:p>
          <w:p w:rsidR="001C4339" w:rsidRDefault="004D7A0D" w:rsidP="001C4339">
            <w:pPr>
              <w:rPr>
                <w:rFonts w:ascii="Verdana" w:hAnsi="Verdana"/>
                <w:sz w:val="20"/>
                <w:szCs w:val="20"/>
              </w:rPr>
            </w:pPr>
            <w:r>
              <w:rPr>
                <w:rFonts w:ascii="Verdana" w:hAnsi="Verdana"/>
                <w:sz w:val="20"/>
                <w:szCs w:val="20"/>
              </w:rPr>
              <w:t>The sub – structure of the WG should meet at least three times:</w:t>
            </w:r>
          </w:p>
          <w:p w:rsidR="004D7A0D" w:rsidRDefault="004D7A0D" w:rsidP="004D7A0D">
            <w:pPr>
              <w:numPr>
                <w:ilvl w:val="0"/>
                <w:numId w:val="5"/>
              </w:numPr>
              <w:rPr>
                <w:rFonts w:ascii="Verdana" w:hAnsi="Verdana"/>
                <w:sz w:val="20"/>
                <w:szCs w:val="20"/>
              </w:rPr>
            </w:pPr>
            <w:r>
              <w:rPr>
                <w:rFonts w:ascii="Verdana" w:hAnsi="Verdana"/>
                <w:sz w:val="20"/>
                <w:szCs w:val="20"/>
              </w:rPr>
              <w:t>End 2012/beginning 2013;</w:t>
            </w:r>
          </w:p>
          <w:p w:rsidR="004D7A0D" w:rsidRDefault="004D7A0D" w:rsidP="004D7A0D">
            <w:pPr>
              <w:numPr>
                <w:ilvl w:val="0"/>
                <w:numId w:val="5"/>
              </w:numPr>
              <w:rPr>
                <w:rFonts w:ascii="Verdana" w:hAnsi="Verdana"/>
                <w:sz w:val="20"/>
                <w:szCs w:val="20"/>
              </w:rPr>
            </w:pPr>
            <w:r>
              <w:rPr>
                <w:rFonts w:ascii="Verdana" w:hAnsi="Verdana"/>
                <w:sz w:val="20"/>
                <w:szCs w:val="20"/>
              </w:rPr>
              <w:t>Second half 2013;</w:t>
            </w:r>
          </w:p>
          <w:p w:rsidR="004D7A0D" w:rsidRPr="000E08E2" w:rsidRDefault="004D7A0D" w:rsidP="004D7A0D">
            <w:pPr>
              <w:numPr>
                <w:ilvl w:val="0"/>
                <w:numId w:val="5"/>
              </w:numPr>
              <w:rPr>
                <w:rFonts w:ascii="Verdana" w:hAnsi="Verdana"/>
                <w:sz w:val="20"/>
                <w:szCs w:val="20"/>
              </w:rPr>
            </w:pPr>
            <w:r>
              <w:rPr>
                <w:rFonts w:ascii="Verdana" w:hAnsi="Verdana"/>
                <w:sz w:val="20"/>
                <w:szCs w:val="20"/>
              </w:rPr>
              <w:t>Beginning 2014.</w:t>
            </w:r>
          </w:p>
        </w:tc>
      </w:tr>
      <w:tr w:rsidR="001C4339" w:rsidRPr="000E08E2">
        <w:trPr>
          <w:trHeight w:val="1084"/>
        </w:trPr>
        <w:tc>
          <w:tcPr>
            <w:tcW w:w="9540" w:type="dxa"/>
          </w:tcPr>
          <w:p w:rsidR="001C4339" w:rsidRDefault="001C4339" w:rsidP="001C4339">
            <w:pPr>
              <w:spacing w:after="120"/>
              <w:rPr>
                <w:rFonts w:ascii="Verdana" w:hAnsi="Verdana"/>
                <w:b/>
                <w:sz w:val="20"/>
                <w:szCs w:val="20"/>
              </w:rPr>
            </w:pPr>
            <w:r>
              <w:rPr>
                <w:rFonts w:ascii="Verdana" w:hAnsi="Verdana"/>
                <w:b/>
                <w:sz w:val="20"/>
                <w:szCs w:val="20"/>
              </w:rPr>
              <w:t>Liaison with  other  WGs’ and networks’ activities</w:t>
            </w:r>
          </w:p>
          <w:p w:rsidR="001C4339" w:rsidRPr="000E08E2" w:rsidRDefault="00BC5928" w:rsidP="00315C7B">
            <w:pPr>
              <w:spacing w:after="120"/>
              <w:rPr>
                <w:rFonts w:ascii="Verdana" w:hAnsi="Verdana"/>
                <w:sz w:val="20"/>
                <w:szCs w:val="20"/>
              </w:rPr>
            </w:pPr>
            <w:r w:rsidRPr="00BC5928">
              <w:rPr>
                <w:rFonts w:ascii="Verdana" w:hAnsi="Verdana"/>
                <w:sz w:val="20"/>
                <w:szCs w:val="20"/>
              </w:rPr>
              <w:t>Lia</w:t>
            </w:r>
            <w:r w:rsidR="00315C7B">
              <w:rPr>
                <w:rFonts w:ascii="Verdana" w:hAnsi="Verdana"/>
                <w:sz w:val="20"/>
                <w:szCs w:val="20"/>
              </w:rPr>
              <w:t>i</w:t>
            </w:r>
            <w:r w:rsidRPr="00BC5928">
              <w:rPr>
                <w:rFonts w:ascii="Verdana" w:hAnsi="Verdana"/>
                <w:sz w:val="20"/>
                <w:szCs w:val="20"/>
              </w:rPr>
              <w:t>son</w:t>
            </w:r>
            <w:r>
              <w:rPr>
                <w:rFonts w:ascii="Verdana" w:hAnsi="Verdana"/>
                <w:sz w:val="20"/>
                <w:szCs w:val="20"/>
              </w:rPr>
              <w:t xml:space="preserve">s will mainly be </w:t>
            </w:r>
            <w:r w:rsidR="00315C7B">
              <w:rPr>
                <w:rFonts w:ascii="Verdana" w:hAnsi="Verdana"/>
                <w:sz w:val="20"/>
                <w:szCs w:val="20"/>
              </w:rPr>
              <w:t>ensured</w:t>
            </w:r>
            <w:r>
              <w:rPr>
                <w:rFonts w:ascii="Verdana" w:hAnsi="Verdana"/>
                <w:sz w:val="20"/>
                <w:szCs w:val="20"/>
              </w:rPr>
              <w:t xml:space="preserve"> by the WG “structures”. Connections with the WGs on ECTS User’s Guide and the WG “mobility and internationalisation” should be prioritised.</w:t>
            </w:r>
          </w:p>
        </w:tc>
      </w:tr>
      <w:tr w:rsidR="001C4339" w:rsidRPr="000E08E2">
        <w:trPr>
          <w:trHeight w:val="844"/>
        </w:trPr>
        <w:tc>
          <w:tcPr>
            <w:tcW w:w="9540" w:type="dxa"/>
          </w:tcPr>
          <w:p w:rsidR="001C4339" w:rsidRDefault="001C4339" w:rsidP="001C4339">
            <w:pPr>
              <w:spacing w:after="120"/>
              <w:rPr>
                <w:rFonts w:ascii="Verdana" w:hAnsi="Verdana"/>
                <w:sz w:val="20"/>
                <w:szCs w:val="20"/>
              </w:rPr>
            </w:pPr>
            <w:r w:rsidRPr="000E08E2">
              <w:rPr>
                <w:rFonts w:ascii="Verdana" w:hAnsi="Verdana"/>
                <w:b/>
                <w:sz w:val="20"/>
                <w:szCs w:val="20"/>
              </w:rPr>
              <w:t>Additional remarks</w:t>
            </w:r>
          </w:p>
          <w:p w:rsidR="001C4339" w:rsidRPr="00E5775B" w:rsidRDefault="001C4339" w:rsidP="001C4339">
            <w:pPr>
              <w:spacing w:after="120"/>
              <w:rPr>
                <w:rFonts w:ascii="Verdana" w:hAnsi="Verdana"/>
                <w:sz w:val="20"/>
                <w:szCs w:val="20"/>
              </w:rPr>
            </w:pPr>
          </w:p>
        </w:tc>
      </w:tr>
    </w:tbl>
    <w:p w:rsidR="001C4339" w:rsidRPr="00415662" w:rsidRDefault="001C4339" w:rsidP="001C4339">
      <w:pPr>
        <w:rPr>
          <w:rFonts w:ascii="Verdana" w:hAnsi="Verdana"/>
        </w:rPr>
      </w:pPr>
    </w:p>
    <w:sectPr w:rsidR="001C4339" w:rsidRPr="00415662" w:rsidSect="001C4339">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298" w:rsidRDefault="00EA2298">
      <w:r>
        <w:separator/>
      </w:r>
    </w:p>
  </w:endnote>
  <w:endnote w:type="continuationSeparator" w:id="0">
    <w:p w:rsidR="00EA2298" w:rsidRDefault="00EA2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B7200000000000000"/>
    <w:charset w:val="00"/>
    <w:family w:val="swiss"/>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467" w:rsidRDefault="00F664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2579733"/>
      <w:docPartObj>
        <w:docPartGallery w:val="Page Numbers (Bottom of Page)"/>
        <w:docPartUnique/>
      </w:docPartObj>
    </w:sdtPr>
    <w:sdtEndPr>
      <w:rPr>
        <w:noProof/>
      </w:rPr>
    </w:sdtEndPr>
    <w:sdtContent>
      <w:p w:rsidR="00F66467" w:rsidRDefault="00F66467">
        <w:pPr>
          <w:pStyle w:val="Footer"/>
          <w:jc w:val="right"/>
        </w:pPr>
        <w:r>
          <w:fldChar w:fldCharType="begin"/>
        </w:r>
        <w:r>
          <w:instrText xml:space="preserve"> PAGE   \* MERGEFORMAT </w:instrText>
        </w:r>
        <w:r>
          <w:fldChar w:fldCharType="separate"/>
        </w:r>
        <w:r w:rsidR="007F7217">
          <w:rPr>
            <w:noProof/>
          </w:rPr>
          <w:t>3</w:t>
        </w:r>
        <w:r>
          <w:rPr>
            <w:noProof/>
          </w:rPr>
          <w:fldChar w:fldCharType="end"/>
        </w:r>
      </w:p>
    </w:sdtContent>
  </w:sdt>
  <w:p w:rsidR="00F66467" w:rsidRDefault="00F664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2006080"/>
      <w:docPartObj>
        <w:docPartGallery w:val="Page Numbers (Bottom of Page)"/>
        <w:docPartUnique/>
      </w:docPartObj>
    </w:sdtPr>
    <w:sdtEndPr>
      <w:rPr>
        <w:noProof/>
      </w:rPr>
    </w:sdtEndPr>
    <w:sdtContent>
      <w:p w:rsidR="00A76AAD" w:rsidRDefault="00A76AAD">
        <w:pPr>
          <w:pStyle w:val="Footer"/>
          <w:jc w:val="right"/>
        </w:pPr>
        <w:r>
          <w:fldChar w:fldCharType="begin"/>
        </w:r>
        <w:r>
          <w:instrText xml:space="preserve"> PAGE   \* MERGEFORMAT </w:instrText>
        </w:r>
        <w:r>
          <w:fldChar w:fldCharType="separate"/>
        </w:r>
        <w:r w:rsidR="007F7217">
          <w:rPr>
            <w:noProof/>
          </w:rPr>
          <w:t>1</w:t>
        </w:r>
        <w:r>
          <w:rPr>
            <w:noProof/>
          </w:rPr>
          <w:fldChar w:fldCharType="end"/>
        </w:r>
      </w:p>
    </w:sdtContent>
  </w:sdt>
  <w:p w:rsidR="00F66467" w:rsidRDefault="00F664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298" w:rsidRDefault="00EA2298">
      <w:r>
        <w:separator/>
      </w:r>
    </w:p>
  </w:footnote>
  <w:footnote w:type="continuationSeparator" w:id="0">
    <w:p w:rsidR="00EA2298" w:rsidRDefault="00EA22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339" w:rsidRDefault="001C4339" w:rsidP="001C433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C4339" w:rsidRDefault="001C43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339" w:rsidRDefault="001C43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467" w:rsidRDefault="00F664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F7EC7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A3F73"/>
    <w:multiLevelType w:val="hybridMultilevel"/>
    <w:tmpl w:val="AD6A2A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A842B1C"/>
    <w:multiLevelType w:val="hybridMultilevel"/>
    <w:tmpl w:val="6DE08D6A"/>
    <w:lvl w:ilvl="0" w:tplc="64CA32DC">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A531597"/>
    <w:multiLevelType w:val="hybridMultilevel"/>
    <w:tmpl w:val="9B7C6B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2F11F27"/>
    <w:multiLevelType w:val="hybridMultilevel"/>
    <w:tmpl w:val="C2861596"/>
    <w:lvl w:ilvl="0" w:tplc="04090011">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2771C53"/>
    <w:multiLevelType w:val="hybridMultilevel"/>
    <w:tmpl w:val="B1C2FECE"/>
    <w:lvl w:ilvl="0" w:tplc="7D583430">
      <w:start w:val="1"/>
      <w:numFmt w:val="bullet"/>
      <w:lvlText w:val=""/>
      <w:lvlJc w:val="left"/>
      <w:pPr>
        <w:tabs>
          <w:tab w:val="num" w:pos="516"/>
        </w:tabs>
        <w:ind w:left="515" w:hanging="515"/>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94296A"/>
    <w:multiLevelType w:val="hybridMultilevel"/>
    <w:tmpl w:val="E69EFEEE"/>
    <w:lvl w:ilvl="0" w:tplc="7D583430">
      <w:start w:val="1"/>
      <w:numFmt w:val="bullet"/>
      <w:lvlText w:val=""/>
      <w:lvlJc w:val="left"/>
      <w:pPr>
        <w:tabs>
          <w:tab w:val="num" w:pos="516"/>
        </w:tabs>
        <w:ind w:left="515" w:hanging="515"/>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286D83"/>
    <w:multiLevelType w:val="hybridMultilevel"/>
    <w:tmpl w:val="0576CF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7"/>
  </w:num>
  <w:num w:numId="5">
    <w:abstractNumId w:val="2"/>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B56"/>
    <w:rsid w:val="00033B40"/>
    <w:rsid w:val="000E3F6D"/>
    <w:rsid w:val="00180B56"/>
    <w:rsid w:val="001A4F4A"/>
    <w:rsid w:val="001C4339"/>
    <w:rsid w:val="00221278"/>
    <w:rsid w:val="00243041"/>
    <w:rsid w:val="00303AE4"/>
    <w:rsid w:val="00315C7B"/>
    <w:rsid w:val="003446D1"/>
    <w:rsid w:val="00372C4F"/>
    <w:rsid w:val="003E1241"/>
    <w:rsid w:val="004424D2"/>
    <w:rsid w:val="004D7A0D"/>
    <w:rsid w:val="00537F47"/>
    <w:rsid w:val="00550CBD"/>
    <w:rsid w:val="005D1D0B"/>
    <w:rsid w:val="005E0313"/>
    <w:rsid w:val="005E0E19"/>
    <w:rsid w:val="006A4D51"/>
    <w:rsid w:val="00791F77"/>
    <w:rsid w:val="007E18DA"/>
    <w:rsid w:val="007F7217"/>
    <w:rsid w:val="008A59CE"/>
    <w:rsid w:val="00977C7A"/>
    <w:rsid w:val="00992609"/>
    <w:rsid w:val="00A76AAD"/>
    <w:rsid w:val="00AD7F7D"/>
    <w:rsid w:val="00AE0C73"/>
    <w:rsid w:val="00B525E2"/>
    <w:rsid w:val="00BB1928"/>
    <w:rsid w:val="00BC5928"/>
    <w:rsid w:val="00C678C6"/>
    <w:rsid w:val="00D22EA2"/>
    <w:rsid w:val="00DD5DC8"/>
    <w:rsid w:val="00DF67A7"/>
    <w:rsid w:val="00E20EA4"/>
    <w:rsid w:val="00EA2298"/>
    <w:rsid w:val="00EF23B7"/>
    <w:rsid w:val="00F40D0C"/>
    <w:rsid w:val="00F66467"/>
    <w:rsid w:val="00FA4E94"/>
    <w:rsid w:val="00FB7E9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180B56"/>
    <w:rPr>
      <w:sz w:val="24"/>
      <w:szCs w:val="24"/>
      <w:lang w:val="en-GB" w:eastAsia="bs-Latn-BA"/>
    </w:rPr>
  </w:style>
  <w:style w:type="paragraph" w:styleId="Heading1">
    <w:name w:val="heading 1"/>
    <w:basedOn w:val="Normal"/>
    <w:next w:val="Normal"/>
    <w:link w:val="Heading1Char"/>
    <w:qFormat/>
    <w:rsid w:val="00180B56"/>
    <w:pPr>
      <w:keepNext/>
      <w:spacing w:before="240" w:after="60"/>
      <w:outlineLvl w:val="0"/>
    </w:pPr>
    <w:rPr>
      <w:rFonts w:ascii="Cambria" w:hAnsi="Cambria"/>
      <w:b/>
      <w:bCs/>
      <w:kern w:val="32"/>
      <w:sz w:val="32"/>
      <w:szCs w:val="32"/>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80B56"/>
    <w:rPr>
      <w:color w:val="0000FF"/>
      <w:u w:val="single"/>
    </w:rPr>
  </w:style>
  <w:style w:type="character" w:customStyle="1" w:styleId="Heading1Char">
    <w:name w:val="Heading 1 Char"/>
    <w:link w:val="Heading1"/>
    <w:rsid w:val="00180B56"/>
    <w:rPr>
      <w:rFonts w:ascii="Cambria" w:hAnsi="Cambria"/>
      <w:b/>
      <w:bCs/>
      <w:kern w:val="32"/>
      <w:sz w:val="32"/>
      <w:szCs w:val="32"/>
      <w:lang w:val="nl-NL" w:eastAsia="nl-NL" w:bidi="ar-SA"/>
    </w:rPr>
  </w:style>
  <w:style w:type="paragraph" w:customStyle="1" w:styleId="Default">
    <w:name w:val="Default"/>
    <w:rsid w:val="00EB3D3F"/>
    <w:pPr>
      <w:autoSpaceDE w:val="0"/>
      <w:autoSpaceDN w:val="0"/>
      <w:adjustRightInd w:val="0"/>
    </w:pPr>
    <w:rPr>
      <w:rFonts w:ascii="Arial" w:hAnsi="Arial" w:cs="Arial"/>
      <w:color w:val="000000"/>
      <w:sz w:val="24"/>
      <w:szCs w:val="24"/>
    </w:rPr>
  </w:style>
  <w:style w:type="character" w:styleId="CommentReference">
    <w:name w:val="annotation reference"/>
    <w:semiHidden/>
    <w:rsid w:val="00826FD7"/>
    <w:rPr>
      <w:sz w:val="16"/>
      <w:szCs w:val="16"/>
    </w:rPr>
  </w:style>
  <w:style w:type="paragraph" w:styleId="CommentText">
    <w:name w:val="annotation text"/>
    <w:basedOn w:val="Normal"/>
    <w:semiHidden/>
    <w:rsid w:val="00826FD7"/>
    <w:rPr>
      <w:sz w:val="20"/>
      <w:szCs w:val="20"/>
    </w:rPr>
  </w:style>
  <w:style w:type="paragraph" w:styleId="CommentSubject">
    <w:name w:val="annotation subject"/>
    <w:basedOn w:val="CommentText"/>
    <w:next w:val="CommentText"/>
    <w:semiHidden/>
    <w:rsid w:val="00826FD7"/>
    <w:rPr>
      <w:b/>
      <w:bCs/>
    </w:rPr>
  </w:style>
  <w:style w:type="paragraph" w:styleId="BalloonText">
    <w:name w:val="Balloon Text"/>
    <w:basedOn w:val="Normal"/>
    <w:semiHidden/>
    <w:rsid w:val="00826FD7"/>
    <w:rPr>
      <w:rFonts w:ascii="Tahoma" w:hAnsi="Tahoma" w:cs="Tahoma"/>
      <w:sz w:val="16"/>
      <w:szCs w:val="16"/>
    </w:rPr>
  </w:style>
  <w:style w:type="paragraph" w:styleId="Header">
    <w:name w:val="header"/>
    <w:basedOn w:val="Normal"/>
    <w:rsid w:val="00644BD7"/>
    <w:pPr>
      <w:tabs>
        <w:tab w:val="center" w:pos="4320"/>
        <w:tab w:val="right" w:pos="8640"/>
      </w:tabs>
    </w:pPr>
  </w:style>
  <w:style w:type="character" w:styleId="PageNumber">
    <w:name w:val="page number"/>
    <w:basedOn w:val="DefaultParagraphFont"/>
    <w:rsid w:val="00644BD7"/>
  </w:style>
  <w:style w:type="paragraph" w:styleId="Footer">
    <w:name w:val="footer"/>
    <w:basedOn w:val="Normal"/>
    <w:link w:val="FooterChar"/>
    <w:uiPriority w:val="99"/>
    <w:rsid w:val="00F66467"/>
    <w:pPr>
      <w:tabs>
        <w:tab w:val="center" w:pos="4677"/>
        <w:tab w:val="right" w:pos="9355"/>
      </w:tabs>
    </w:pPr>
  </w:style>
  <w:style w:type="character" w:customStyle="1" w:styleId="FooterChar">
    <w:name w:val="Footer Char"/>
    <w:basedOn w:val="DefaultParagraphFont"/>
    <w:link w:val="Footer"/>
    <w:uiPriority w:val="99"/>
    <w:rsid w:val="00F66467"/>
    <w:rPr>
      <w:sz w:val="24"/>
      <w:szCs w:val="24"/>
      <w:lang w:val="en-GB" w:eastAsia="bs-Latn-BA"/>
    </w:rPr>
  </w:style>
  <w:style w:type="character" w:customStyle="1" w:styleId="apple-converted-space">
    <w:name w:val="apple-converted-space"/>
    <w:basedOn w:val="DefaultParagraphFont"/>
    <w:rsid w:val="002212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180B56"/>
    <w:rPr>
      <w:sz w:val="24"/>
      <w:szCs w:val="24"/>
      <w:lang w:val="en-GB" w:eastAsia="bs-Latn-BA"/>
    </w:rPr>
  </w:style>
  <w:style w:type="paragraph" w:styleId="Heading1">
    <w:name w:val="heading 1"/>
    <w:basedOn w:val="Normal"/>
    <w:next w:val="Normal"/>
    <w:link w:val="Heading1Char"/>
    <w:qFormat/>
    <w:rsid w:val="00180B56"/>
    <w:pPr>
      <w:keepNext/>
      <w:spacing w:before="240" w:after="60"/>
      <w:outlineLvl w:val="0"/>
    </w:pPr>
    <w:rPr>
      <w:rFonts w:ascii="Cambria" w:hAnsi="Cambria"/>
      <w:b/>
      <w:bCs/>
      <w:kern w:val="32"/>
      <w:sz w:val="32"/>
      <w:szCs w:val="32"/>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80B56"/>
    <w:rPr>
      <w:color w:val="0000FF"/>
      <w:u w:val="single"/>
    </w:rPr>
  </w:style>
  <w:style w:type="character" w:customStyle="1" w:styleId="Heading1Char">
    <w:name w:val="Heading 1 Char"/>
    <w:link w:val="Heading1"/>
    <w:rsid w:val="00180B56"/>
    <w:rPr>
      <w:rFonts w:ascii="Cambria" w:hAnsi="Cambria"/>
      <w:b/>
      <w:bCs/>
      <w:kern w:val="32"/>
      <w:sz w:val="32"/>
      <w:szCs w:val="32"/>
      <w:lang w:val="nl-NL" w:eastAsia="nl-NL" w:bidi="ar-SA"/>
    </w:rPr>
  </w:style>
  <w:style w:type="paragraph" w:customStyle="1" w:styleId="Default">
    <w:name w:val="Default"/>
    <w:rsid w:val="00EB3D3F"/>
    <w:pPr>
      <w:autoSpaceDE w:val="0"/>
      <w:autoSpaceDN w:val="0"/>
      <w:adjustRightInd w:val="0"/>
    </w:pPr>
    <w:rPr>
      <w:rFonts w:ascii="Arial" w:hAnsi="Arial" w:cs="Arial"/>
      <w:color w:val="000000"/>
      <w:sz w:val="24"/>
      <w:szCs w:val="24"/>
    </w:rPr>
  </w:style>
  <w:style w:type="character" w:styleId="CommentReference">
    <w:name w:val="annotation reference"/>
    <w:semiHidden/>
    <w:rsid w:val="00826FD7"/>
    <w:rPr>
      <w:sz w:val="16"/>
      <w:szCs w:val="16"/>
    </w:rPr>
  </w:style>
  <w:style w:type="paragraph" w:styleId="CommentText">
    <w:name w:val="annotation text"/>
    <w:basedOn w:val="Normal"/>
    <w:semiHidden/>
    <w:rsid w:val="00826FD7"/>
    <w:rPr>
      <w:sz w:val="20"/>
      <w:szCs w:val="20"/>
    </w:rPr>
  </w:style>
  <w:style w:type="paragraph" w:styleId="CommentSubject">
    <w:name w:val="annotation subject"/>
    <w:basedOn w:val="CommentText"/>
    <w:next w:val="CommentText"/>
    <w:semiHidden/>
    <w:rsid w:val="00826FD7"/>
    <w:rPr>
      <w:b/>
      <w:bCs/>
    </w:rPr>
  </w:style>
  <w:style w:type="paragraph" w:styleId="BalloonText">
    <w:name w:val="Balloon Text"/>
    <w:basedOn w:val="Normal"/>
    <w:semiHidden/>
    <w:rsid w:val="00826FD7"/>
    <w:rPr>
      <w:rFonts w:ascii="Tahoma" w:hAnsi="Tahoma" w:cs="Tahoma"/>
      <w:sz w:val="16"/>
      <w:szCs w:val="16"/>
    </w:rPr>
  </w:style>
  <w:style w:type="paragraph" w:styleId="Header">
    <w:name w:val="header"/>
    <w:basedOn w:val="Normal"/>
    <w:rsid w:val="00644BD7"/>
    <w:pPr>
      <w:tabs>
        <w:tab w:val="center" w:pos="4320"/>
        <w:tab w:val="right" w:pos="8640"/>
      </w:tabs>
    </w:pPr>
  </w:style>
  <w:style w:type="character" w:styleId="PageNumber">
    <w:name w:val="page number"/>
    <w:basedOn w:val="DefaultParagraphFont"/>
    <w:rsid w:val="00644BD7"/>
  </w:style>
  <w:style w:type="paragraph" w:styleId="Footer">
    <w:name w:val="footer"/>
    <w:basedOn w:val="Normal"/>
    <w:link w:val="FooterChar"/>
    <w:uiPriority w:val="99"/>
    <w:rsid w:val="00F66467"/>
    <w:pPr>
      <w:tabs>
        <w:tab w:val="center" w:pos="4677"/>
        <w:tab w:val="right" w:pos="9355"/>
      </w:tabs>
    </w:pPr>
  </w:style>
  <w:style w:type="character" w:customStyle="1" w:styleId="FooterChar">
    <w:name w:val="Footer Char"/>
    <w:basedOn w:val="DefaultParagraphFont"/>
    <w:link w:val="Footer"/>
    <w:uiPriority w:val="99"/>
    <w:rsid w:val="00F66467"/>
    <w:rPr>
      <w:sz w:val="24"/>
      <w:szCs w:val="24"/>
      <w:lang w:val="en-GB" w:eastAsia="bs-Latn-BA"/>
    </w:rPr>
  </w:style>
  <w:style w:type="character" w:customStyle="1" w:styleId="apple-converted-space">
    <w:name w:val="apple-converted-space"/>
    <w:basedOn w:val="DefaultParagraphFont"/>
    <w:rsid w:val="00221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98354">
      <w:bodyDiv w:val="1"/>
      <w:marLeft w:val="0"/>
      <w:marRight w:val="0"/>
      <w:marTop w:val="0"/>
      <w:marBottom w:val="0"/>
      <w:divBdr>
        <w:top w:val="none" w:sz="0" w:space="0" w:color="auto"/>
        <w:left w:val="none" w:sz="0" w:space="0" w:color="auto"/>
        <w:bottom w:val="none" w:sz="0" w:space="0" w:color="auto"/>
        <w:right w:val="none" w:sz="0" w:space="0" w:color="auto"/>
      </w:divBdr>
      <w:divsChild>
        <w:div w:id="182522524">
          <w:marLeft w:val="0"/>
          <w:marRight w:val="0"/>
          <w:marTop w:val="0"/>
          <w:marBottom w:val="0"/>
          <w:divBdr>
            <w:top w:val="none" w:sz="0" w:space="0" w:color="auto"/>
            <w:left w:val="none" w:sz="0" w:space="0" w:color="auto"/>
            <w:bottom w:val="none" w:sz="0" w:space="0" w:color="auto"/>
            <w:right w:val="none" w:sz="0" w:space="0" w:color="auto"/>
          </w:divBdr>
          <w:divsChild>
            <w:div w:id="2144695741">
              <w:marLeft w:val="240"/>
              <w:marRight w:val="0"/>
              <w:marTop w:val="0"/>
              <w:marBottom w:val="0"/>
              <w:divBdr>
                <w:top w:val="none" w:sz="0" w:space="0" w:color="auto"/>
                <w:left w:val="none" w:sz="0" w:space="0" w:color="auto"/>
                <w:bottom w:val="none" w:sz="0" w:space="0" w:color="auto"/>
                <w:right w:val="none" w:sz="0" w:space="0" w:color="auto"/>
              </w:divBdr>
              <w:divsChild>
                <w:div w:id="168173708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837571391">
          <w:marLeft w:val="0"/>
          <w:marRight w:val="0"/>
          <w:marTop w:val="0"/>
          <w:marBottom w:val="0"/>
          <w:divBdr>
            <w:top w:val="none" w:sz="0" w:space="0" w:color="auto"/>
            <w:left w:val="none" w:sz="0" w:space="0" w:color="auto"/>
            <w:bottom w:val="none" w:sz="0" w:space="0" w:color="auto"/>
            <w:right w:val="none" w:sz="0" w:space="0" w:color="auto"/>
          </w:divBdr>
        </w:div>
      </w:divsChild>
    </w:div>
    <w:div w:id="1030689738">
      <w:bodyDiv w:val="1"/>
      <w:marLeft w:val="0"/>
      <w:marRight w:val="0"/>
      <w:marTop w:val="0"/>
      <w:marBottom w:val="0"/>
      <w:divBdr>
        <w:top w:val="none" w:sz="0" w:space="0" w:color="auto"/>
        <w:left w:val="none" w:sz="0" w:space="0" w:color="auto"/>
        <w:bottom w:val="none" w:sz="0" w:space="0" w:color="auto"/>
        <w:right w:val="none" w:sz="0" w:space="0" w:color="auto"/>
      </w:divBdr>
      <w:divsChild>
        <w:div w:id="1162820583">
          <w:marLeft w:val="0"/>
          <w:marRight w:val="0"/>
          <w:marTop w:val="0"/>
          <w:marBottom w:val="0"/>
          <w:divBdr>
            <w:top w:val="none" w:sz="0" w:space="0" w:color="auto"/>
            <w:left w:val="none" w:sz="0" w:space="0" w:color="auto"/>
            <w:bottom w:val="none" w:sz="0" w:space="0" w:color="auto"/>
            <w:right w:val="none" w:sz="0" w:space="0" w:color="auto"/>
          </w:divBdr>
          <w:divsChild>
            <w:div w:id="384719186">
              <w:marLeft w:val="240"/>
              <w:marRight w:val="0"/>
              <w:marTop w:val="0"/>
              <w:marBottom w:val="0"/>
              <w:divBdr>
                <w:top w:val="none" w:sz="0" w:space="0" w:color="auto"/>
                <w:left w:val="none" w:sz="0" w:space="0" w:color="auto"/>
                <w:bottom w:val="none" w:sz="0" w:space="0" w:color="auto"/>
                <w:right w:val="none" w:sz="0" w:space="0" w:color="auto"/>
              </w:divBdr>
              <w:divsChild>
                <w:div w:id="66493782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843856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marzia.foroni@miur.it" TargetMode="External"/><Relationship Id="rId19"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hyperlink" Target="mailto:nicola.vittorio@uniroma2.i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3F7CF842B0E24AA6C7C4E6F5B069E9" ma:contentTypeVersion="0" ma:contentTypeDescription="Create a new document." ma:contentTypeScope="" ma:versionID="7bae795dcadf6c0c26748871d2c4d08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419FCC0-A249-441F-ABB6-9202E872726D}"/>
</file>

<file path=customXml/itemProps2.xml><?xml version="1.0" encoding="utf-8"?>
<ds:datastoreItem xmlns:ds="http://schemas.openxmlformats.org/officeDocument/2006/customXml" ds:itemID="{1B43B9BF-2BE1-4BBD-843D-97269CDD29F6}"/>
</file>

<file path=customXml/itemProps3.xml><?xml version="1.0" encoding="utf-8"?>
<ds:datastoreItem xmlns:ds="http://schemas.openxmlformats.org/officeDocument/2006/customXml" ds:itemID="{855516BF-A282-43AA-80D6-44810AC2D9A7}"/>
</file>

<file path=docProps/app.xml><?xml version="1.0" encoding="utf-8"?>
<Properties xmlns="http://schemas.openxmlformats.org/officeDocument/2006/extended-properties" xmlns:vt="http://schemas.openxmlformats.org/officeDocument/2006/docPropsVTypes">
  <Template>Normal</Template>
  <TotalTime>15</TotalTime>
  <Pages>1</Pages>
  <Words>941</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TERMS OF REFERENCE OF THE WORKING GROUP ON QUALIFICATIOSN FRAMWEOKRS 2009 – 2012</vt:lpstr>
    </vt:vector>
  </TitlesOfParts>
  <Company>Council of Europe</Company>
  <LinksUpToDate>false</LinksUpToDate>
  <CharactersWithSpaces>6298</CharactersWithSpaces>
  <SharedDoc>false</SharedDoc>
  <HLinks>
    <vt:vector size="6" baseType="variant">
      <vt:variant>
        <vt:i4>6619203</vt:i4>
      </vt:variant>
      <vt:variant>
        <vt:i4>0</vt:i4>
      </vt:variant>
      <vt:variant>
        <vt:i4>0</vt:i4>
      </vt:variant>
      <vt:variant>
        <vt:i4>5</vt:i4>
      </vt:variant>
      <vt:variant>
        <vt:lpwstr>mailto:nicola.vittorio@uniroma2.it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OF THE WORKING GROUP ON QUALIFICATIOSN FRAMWEOKRS 2009 – 2012</dc:title>
  <dc:creator>bergan</dc:creator>
  <cp:lastModifiedBy>BFUG Secretariat</cp:lastModifiedBy>
  <cp:revision>8</cp:revision>
  <dcterms:created xsi:type="dcterms:W3CDTF">2012-08-08T12:13:00Z</dcterms:created>
  <dcterms:modified xsi:type="dcterms:W3CDTF">2012-08-23T11:33:00Z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0x010100C73F7CF842B0E24AA6C7C4E6F5B069E9</vt:lpwstr>
  </property>
</Properties>
</file>