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13" w:rsidRDefault="00072913" w:rsidP="0094175A">
      <w:pPr>
        <w:rPr>
          <w:lang w:val="en-GB"/>
        </w:rPr>
      </w:pPr>
    </w:p>
    <w:p w:rsidR="000553CD" w:rsidRDefault="000553CD" w:rsidP="0094175A">
      <w:pPr>
        <w:rPr>
          <w:lang w:val="en-GB"/>
        </w:rPr>
      </w:pPr>
    </w:p>
    <w:p w:rsidR="000553CD" w:rsidRDefault="000553CD" w:rsidP="0094175A">
      <w:pPr>
        <w:rPr>
          <w:lang w:val="en-GB"/>
        </w:rPr>
      </w:pPr>
    </w:p>
    <w:p w:rsidR="000553CD" w:rsidRDefault="000553CD" w:rsidP="000553CD">
      <w:pPr>
        <w:jc w:val="right"/>
        <w:rPr>
          <w:rFonts w:ascii="Verdana" w:hAnsi="Verdana"/>
          <w:i/>
          <w:sz w:val="20"/>
          <w:lang w:val="en-US"/>
        </w:rPr>
      </w:pPr>
      <w:r w:rsidRPr="00162085">
        <w:rPr>
          <w:rFonts w:ascii="Verdana" w:hAnsi="Verdana" w:cs="Calibri"/>
          <w:i/>
          <w:sz w:val="20"/>
          <w:lang w:val="en-GB"/>
        </w:rPr>
        <w:t xml:space="preserve">Doc. Code: </w:t>
      </w:r>
      <w:r>
        <w:rPr>
          <w:rFonts w:ascii="Verdana" w:hAnsi="Verdana"/>
          <w:i/>
          <w:sz w:val="20"/>
          <w:lang w:val="en-US"/>
        </w:rPr>
        <w:t>BFUG_CY_BA_33_6.1_Annex4</w:t>
      </w:r>
    </w:p>
    <w:p w:rsidR="000553CD" w:rsidRPr="000553CD" w:rsidRDefault="000553CD" w:rsidP="0094175A">
      <w:pPr>
        <w:rPr>
          <w:lang w:val="en-US"/>
        </w:rPr>
      </w:pPr>
    </w:p>
    <w:p w:rsidR="00AE59D5" w:rsidRDefault="00AE59D5" w:rsidP="00AE59D5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AE59D5">
        <w:rPr>
          <w:rFonts w:ascii="Verdana" w:hAnsi="Verdana"/>
          <w:b/>
          <w:sz w:val="20"/>
          <w:szCs w:val="20"/>
          <w:lang w:val="en-GB"/>
        </w:rPr>
        <w:t>Terms of Reference</w:t>
      </w:r>
    </w:p>
    <w:p w:rsidR="00AE59D5" w:rsidRDefault="00AE59D5" w:rsidP="00AE59D5">
      <w:pPr>
        <w:jc w:val="center"/>
        <w:rPr>
          <w:rFonts w:ascii="Verdana" w:hAnsi="Verdana"/>
          <w:b/>
          <w:sz w:val="20"/>
          <w:szCs w:val="20"/>
          <w:lang w:val="en-GB"/>
        </w:rPr>
      </w:pPr>
      <w:proofErr w:type="gramStart"/>
      <w:r w:rsidRPr="00AE59D5">
        <w:rPr>
          <w:rFonts w:ascii="Verdana" w:hAnsi="Verdana"/>
          <w:b/>
          <w:sz w:val="20"/>
          <w:szCs w:val="20"/>
          <w:lang w:val="en-GB"/>
        </w:rPr>
        <w:t>on</w:t>
      </w:r>
      <w:proofErr w:type="gramEnd"/>
    </w:p>
    <w:p w:rsidR="000553CD" w:rsidRPr="00AE59D5" w:rsidRDefault="00AE59D5" w:rsidP="00AE59D5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AE59D5">
        <w:rPr>
          <w:rFonts w:ascii="Verdana" w:hAnsi="Verdana"/>
          <w:b/>
          <w:bCs/>
          <w:sz w:val="20"/>
          <w:szCs w:val="20"/>
          <w:lang w:val="en-GB"/>
        </w:rPr>
        <w:t>Mobility and Internationalisation</w:t>
      </w:r>
    </w:p>
    <w:p w:rsidR="000553CD" w:rsidRDefault="000553CD" w:rsidP="00AE59D5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072913" w:rsidRPr="002D6983" w:rsidTr="005C3257">
        <w:trPr>
          <w:trHeight w:val="655"/>
        </w:trPr>
        <w:tc>
          <w:tcPr>
            <w:tcW w:w="9540" w:type="dxa"/>
          </w:tcPr>
          <w:p w:rsidR="00072913" w:rsidRPr="00A9398D" w:rsidRDefault="00072913" w:rsidP="00B850A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9398D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Working Group on Mobility</w:t>
            </w:r>
            <w:r w:rsidR="00AD007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and Internationalisation</w:t>
            </w:r>
          </w:p>
        </w:tc>
      </w:tr>
      <w:tr w:rsidR="00072913" w:rsidRPr="002D6983" w:rsidTr="00B850A5">
        <w:trPr>
          <w:trHeight w:val="844"/>
        </w:trPr>
        <w:tc>
          <w:tcPr>
            <w:tcW w:w="9540" w:type="dxa"/>
          </w:tcPr>
          <w:p w:rsidR="00D72A6E" w:rsidRDefault="00072913" w:rsidP="00B850A5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A9398D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Contact person </w:t>
            </w:r>
            <w:r w:rsidR="00363E7C" w:rsidRPr="00363E7C">
              <w:rPr>
                <w:rFonts w:ascii="Verdana" w:hAnsi="Verdana"/>
                <w:bCs/>
                <w:sz w:val="20"/>
                <w:szCs w:val="20"/>
                <w:lang w:val="en-GB"/>
              </w:rPr>
              <w:t>(proposed</w:t>
            </w:r>
            <w:r w:rsidR="00363E7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72A6E">
              <w:rPr>
                <w:rFonts w:ascii="Verdana" w:hAnsi="Verdana"/>
                <w:bCs/>
                <w:sz w:val="20"/>
                <w:szCs w:val="20"/>
                <w:lang w:val="en-US"/>
              </w:rPr>
              <w:t>Co-</w:t>
            </w:r>
            <w:r w:rsidR="00D438A9">
              <w:rPr>
                <w:rFonts w:ascii="Verdana" w:hAnsi="Verdana"/>
                <w:bCs/>
                <w:sz w:val="20"/>
                <w:szCs w:val="20"/>
                <w:lang w:val="en-US"/>
              </w:rPr>
              <w:t>Chair</w:t>
            </w:r>
            <w:r w:rsidR="00D72A6E">
              <w:rPr>
                <w:rFonts w:ascii="Verdana" w:hAnsi="Verdana"/>
                <w:bCs/>
                <w:sz w:val="20"/>
                <w:szCs w:val="20"/>
                <w:lang w:val="en-US"/>
              </w:rPr>
              <w:t>s</w:t>
            </w:r>
            <w:r w:rsidR="00363E7C">
              <w:rPr>
                <w:rFonts w:ascii="Verdana" w:hAnsi="Verdana"/>
                <w:bCs/>
                <w:sz w:val="20"/>
                <w:szCs w:val="20"/>
                <w:lang w:val="en-US"/>
              </w:rPr>
              <w:t>)</w:t>
            </w:r>
          </w:p>
          <w:p w:rsidR="00633FD5" w:rsidRPr="00363E7C" w:rsidRDefault="00633FD5" w:rsidP="00B850A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63E7C" w:rsidRDefault="00225356" w:rsidP="00B850A5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370D56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Peter </w:t>
            </w:r>
            <w:r w:rsidR="00363E7C">
              <w:rPr>
                <w:rFonts w:ascii="Verdana" w:hAnsi="Verdana"/>
                <w:bCs/>
                <w:sz w:val="20"/>
                <w:szCs w:val="20"/>
                <w:lang w:val="en-US"/>
              </w:rPr>
              <w:t>GREISLER–</w:t>
            </w:r>
            <w:r w:rsidRPr="00370D56">
              <w:rPr>
                <w:rFonts w:ascii="Verdana" w:hAnsi="Verdana"/>
                <w:bCs/>
                <w:sz w:val="20"/>
                <w:szCs w:val="20"/>
                <w:lang w:val="en-US"/>
              </w:rPr>
              <w:t>Germany (</w:t>
            </w:r>
            <w:hyperlink r:id="rId9" w:history="1">
              <w:r w:rsidRPr="00370D56">
                <w:rPr>
                  <w:rStyle w:val="Hyperlink"/>
                  <w:rFonts w:ascii="Verdana" w:hAnsi="Verdana"/>
                  <w:bCs/>
                  <w:sz w:val="20"/>
                  <w:szCs w:val="20"/>
                  <w:lang w:val="en-US"/>
                </w:rPr>
                <w:t>peter.greisler@bmbf.bund.de</w:t>
              </w:r>
            </w:hyperlink>
            <w:r w:rsidRPr="00370D56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) </w:t>
            </w:r>
          </w:p>
          <w:p w:rsidR="00D438A9" w:rsidRDefault="00363E7C" w:rsidP="00B850A5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Gottfried BACHER–</w:t>
            </w:r>
            <w:r w:rsidR="00D438A9">
              <w:rPr>
                <w:rFonts w:ascii="Verdana" w:hAnsi="Verdana"/>
                <w:bCs/>
                <w:sz w:val="20"/>
                <w:szCs w:val="20"/>
                <w:lang w:val="en-US"/>
              </w:rPr>
              <w:t>Austria (</w:t>
            </w:r>
            <w:hyperlink r:id="rId10" w:history="1">
              <w:r w:rsidR="00D438A9" w:rsidRPr="00AD3257">
                <w:rPr>
                  <w:rStyle w:val="Hyperlink"/>
                  <w:rFonts w:ascii="Verdana" w:hAnsi="Verdana"/>
                  <w:bCs/>
                  <w:sz w:val="20"/>
                  <w:szCs w:val="20"/>
                  <w:lang w:val="en-US"/>
                </w:rPr>
                <w:t>Gottfried.Bacher@bmwf.gv.at</w:t>
              </w:r>
            </w:hyperlink>
            <w:r w:rsidR="00D438A9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) </w:t>
            </w:r>
          </w:p>
          <w:p w:rsidR="00363E7C" w:rsidRPr="0094175A" w:rsidRDefault="00363E7C" w:rsidP="00B850A5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                   TBC-Romania</w:t>
            </w:r>
          </w:p>
          <w:p w:rsidR="00072913" w:rsidRPr="0094175A" w:rsidRDefault="00072913" w:rsidP="00B850A5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072913" w:rsidRPr="002D6983" w:rsidTr="00B850A5">
        <w:trPr>
          <w:trHeight w:val="1084"/>
        </w:trPr>
        <w:tc>
          <w:tcPr>
            <w:tcW w:w="9540" w:type="dxa"/>
          </w:tcPr>
          <w:p w:rsidR="00072913" w:rsidRPr="00A9398D" w:rsidRDefault="00072913" w:rsidP="00B850A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9398D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Composition </w:t>
            </w:r>
          </w:p>
          <w:p w:rsidR="00072913" w:rsidRPr="00A9398D" w:rsidRDefault="00072913" w:rsidP="00B850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9398D">
              <w:rPr>
                <w:rFonts w:ascii="Verdana" w:hAnsi="Verdana"/>
                <w:sz w:val="20"/>
                <w:szCs w:val="20"/>
                <w:lang w:val="en-GB"/>
              </w:rPr>
              <w:t>The group will be made up of a wide range of countries and should</w:t>
            </w:r>
            <w:r w:rsidR="00363E7C">
              <w:rPr>
                <w:rFonts w:ascii="Verdana" w:hAnsi="Verdana"/>
                <w:sz w:val="20"/>
                <w:szCs w:val="20"/>
                <w:lang w:val="en-GB"/>
              </w:rPr>
              <w:t xml:space="preserve"> be balanced with regard to EU </w:t>
            </w:r>
            <w:r w:rsidRPr="00A9398D">
              <w:rPr>
                <w:rFonts w:ascii="Verdana" w:hAnsi="Verdana"/>
                <w:sz w:val="20"/>
                <w:szCs w:val="20"/>
                <w:lang w:val="en-GB"/>
              </w:rPr>
              <w:t>and Non-EU Bologna countries, geography and size. The group should include members of the 20</w:t>
            </w:r>
            <w:r w:rsidR="00D438A9">
              <w:rPr>
                <w:rFonts w:ascii="Verdana" w:hAnsi="Verdana"/>
                <w:sz w:val="20"/>
                <w:szCs w:val="20"/>
                <w:lang w:val="en-GB"/>
              </w:rPr>
              <w:t>10</w:t>
            </w:r>
            <w:r w:rsidRPr="00A9398D">
              <w:rPr>
                <w:rFonts w:ascii="Verdana" w:hAnsi="Verdana"/>
                <w:sz w:val="20"/>
                <w:szCs w:val="20"/>
                <w:lang w:val="en-GB"/>
              </w:rPr>
              <w:t>-20</w:t>
            </w:r>
            <w:r w:rsidR="00AD0079">
              <w:rPr>
                <w:rFonts w:ascii="Verdana" w:hAnsi="Verdana"/>
                <w:sz w:val="20"/>
                <w:szCs w:val="20"/>
                <w:lang w:val="en-GB"/>
              </w:rPr>
              <w:t>12</w:t>
            </w:r>
            <w:r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 working group as well as new members.</w:t>
            </w:r>
          </w:p>
          <w:p w:rsidR="00072913" w:rsidRPr="00A9398D" w:rsidRDefault="00072913" w:rsidP="00B850A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072913" w:rsidRDefault="00363E7C" w:rsidP="00B850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following countries expressed their willingness to participate in the WG:</w:t>
            </w:r>
          </w:p>
          <w:p w:rsidR="00363E7C" w:rsidRPr="00363E7C" w:rsidRDefault="00363E7C" w:rsidP="00363E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shd w:val="clear" w:color="auto" w:fill="FFFFFF"/>
              </w:rPr>
              <w:t>Armenia</w:t>
            </w:r>
            <w:r>
              <w:t xml:space="preserve">, </w:t>
            </w:r>
            <w:r w:rsidRPr="00363E7C">
              <w:rPr>
                <w:rFonts w:ascii="Verdana" w:hAnsi="Verdana"/>
                <w:sz w:val="20"/>
                <w:szCs w:val="20"/>
              </w:rPr>
              <w:t>Belgium/Flemish Community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363E7C">
              <w:rPr>
                <w:rFonts w:ascii="Verdana" w:hAnsi="Verdana"/>
                <w:sz w:val="20"/>
                <w:szCs w:val="20"/>
              </w:rPr>
              <w:t>Belgium/French Community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363E7C">
              <w:rPr>
                <w:rFonts w:ascii="Verdana" w:hAnsi="Verdana"/>
                <w:sz w:val="20"/>
                <w:szCs w:val="20"/>
              </w:rPr>
              <w:t>Denmark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363E7C">
              <w:rPr>
                <w:rFonts w:ascii="Verdana" w:hAnsi="Verdana"/>
                <w:sz w:val="20"/>
                <w:szCs w:val="20"/>
              </w:rPr>
              <w:t>Finland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363E7C">
              <w:rPr>
                <w:rFonts w:ascii="Verdana" w:hAnsi="Verdana"/>
                <w:sz w:val="20"/>
                <w:szCs w:val="20"/>
              </w:rPr>
              <w:t>Jolita Butkienė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3E7C">
              <w:rPr>
                <w:rFonts w:ascii="Verdana" w:hAnsi="Verdana"/>
                <w:sz w:val="20"/>
                <w:szCs w:val="20"/>
              </w:rPr>
              <w:t>(Lithuania)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363E7C">
              <w:rPr>
                <w:rFonts w:ascii="Verdana" w:hAnsi="Verdana"/>
                <w:sz w:val="20"/>
                <w:szCs w:val="20"/>
              </w:rPr>
              <w:t>Poland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E3540" w:rsidRPr="00BE3540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the Netherlands,</w:t>
            </w:r>
            <w:r w:rsidR="00BE354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 xml:space="preserve"> </w:t>
            </w:r>
            <w:r w:rsidRPr="00363E7C">
              <w:rPr>
                <w:rFonts w:ascii="Verdana" w:hAnsi="Verdana"/>
                <w:sz w:val="20"/>
                <w:szCs w:val="20"/>
              </w:rPr>
              <w:t>Turkey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363E7C">
              <w:rPr>
                <w:rFonts w:ascii="Verdana" w:hAnsi="Verdana"/>
                <w:sz w:val="20"/>
                <w:szCs w:val="20"/>
              </w:rPr>
              <w:t>Council of Europe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363E7C">
              <w:rPr>
                <w:rFonts w:ascii="Verdana" w:hAnsi="Verdana"/>
                <w:sz w:val="20"/>
                <w:szCs w:val="20"/>
              </w:rPr>
              <w:t>ENQA</w:t>
            </w:r>
            <w:r w:rsidR="004A2B90">
              <w:rPr>
                <w:rFonts w:ascii="Verdana" w:hAnsi="Verdana"/>
                <w:sz w:val="20"/>
                <w:szCs w:val="20"/>
              </w:rPr>
              <w:t>, ESU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363E7C" w:rsidRPr="00A9398D" w:rsidRDefault="00363E7C" w:rsidP="00B850A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  <w:tr w:rsidR="00072913" w:rsidRPr="002D6983" w:rsidTr="00B850A5">
        <w:trPr>
          <w:trHeight w:val="844"/>
        </w:trPr>
        <w:tc>
          <w:tcPr>
            <w:tcW w:w="9540" w:type="dxa"/>
          </w:tcPr>
          <w:p w:rsidR="00072913" w:rsidRPr="00A9398D" w:rsidRDefault="00072913" w:rsidP="00B850A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9398D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Purpose and/or outcome </w:t>
            </w:r>
          </w:p>
          <w:p w:rsidR="00072913" w:rsidRPr="00465507" w:rsidRDefault="00072913" w:rsidP="00465507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To contribute to </w:t>
            </w:r>
            <w:r w:rsidR="00D438A9">
              <w:rPr>
                <w:rFonts w:ascii="Verdana" w:hAnsi="Verdana"/>
                <w:sz w:val="20"/>
                <w:szCs w:val="20"/>
                <w:lang w:val="en-GB"/>
              </w:rPr>
              <w:t xml:space="preserve">the implementation of the </w:t>
            </w:r>
            <w:r w:rsidR="00D438A9"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EHEA Strategy </w:t>
            </w:r>
            <w:r w:rsidR="00D438A9">
              <w:rPr>
                <w:rFonts w:ascii="Verdana" w:hAnsi="Verdana"/>
                <w:sz w:val="20"/>
                <w:szCs w:val="20"/>
                <w:lang w:val="en-GB"/>
              </w:rPr>
              <w:t xml:space="preserve">“Mobility for better Learning” </w:t>
            </w:r>
            <w:r w:rsidR="00465507">
              <w:rPr>
                <w:rFonts w:ascii="Verdana" w:hAnsi="Verdana"/>
                <w:sz w:val="20"/>
                <w:szCs w:val="20"/>
                <w:lang w:val="en-GB"/>
              </w:rPr>
              <w:t xml:space="preserve">at national and European level </w:t>
            </w:r>
            <w:r w:rsidR="00F71F88">
              <w:rPr>
                <w:rFonts w:ascii="Verdana" w:hAnsi="Verdana"/>
                <w:sz w:val="20"/>
                <w:szCs w:val="20"/>
                <w:lang w:val="en-GB"/>
              </w:rPr>
              <w:t>and</w:t>
            </w:r>
            <w:r w:rsidR="0046550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465507" w:rsidRPr="00465507">
              <w:rPr>
                <w:rFonts w:ascii="Verdana" w:hAnsi="Verdana"/>
                <w:sz w:val="20"/>
                <w:szCs w:val="20"/>
                <w:lang w:val="en-GB"/>
              </w:rPr>
              <w:t>to</w:t>
            </w:r>
            <w:r w:rsidR="00D438A9" w:rsidRPr="0046550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F71F88">
              <w:rPr>
                <w:rFonts w:ascii="Verdana" w:hAnsi="Verdana"/>
                <w:sz w:val="20"/>
                <w:szCs w:val="20"/>
                <w:lang w:val="en-GB"/>
              </w:rPr>
              <w:t xml:space="preserve">assist in </w:t>
            </w:r>
            <w:r w:rsidR="00D438A9" w:rsidRPr="00465507">
              <w:rPr>
                <w:rFonts w:ascii="Verdana" w:hAnsi="Verdana"/>
                <w:sz w:val="20"/>
                <w:szCs w:val="20"/>
                <w:lang w:val="en-GB"/>
              </w:rPr>
              <w:t xml:space="preserve">the reporting </w:t>
            </w:r>
            <w:r w:rsidR="00465507" w:rsidRPr="00465507">
              <w:rPr>
                <w:rFonts w:ascii="Verdana" w:hAnsi="Verdana"/>
                <w:sz w:val="20"/>
                <w:szCs w:val="20"/>
                <w:lang w:val="en-GB"/>
              </w:rPr>
              <w:t>to Ministers in 2015</w:t>
            </w:r>
            <w:r w:rsidR="0046550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438A9" w:rsidRPr="00465507">
              <w:rPr>
                <w:rFonts w:ascii="Verdana" w:hAnsi="Verdana"/>
                <w:sz w:val="20"/>
                <w:szCs w:val="20"/>
                <w:lang w:val="en-GB"/>
              </w:rPr>
              <w:t xml:space="preserve">on the progress </w:t>
            </w:r>
            <w:r w:rsidR="00C21371" w:rsidRPr="00465507">
              <w:rPr>
                <w:rFonts w:ascii="Verdana" w:hAnsi="Verdana"/>
                <w:sz w:val="20"/>
                <w:szCs w:val="20"/>
                <w:lang w:val="en-GB"/>
              </w:rPr>
              <w:t>made</w:t>
            </w:r>
            <w:r w:rsidR="00465507" w:rsidRPr="00465507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</w:p>
          <w:p w:rsidR="0081180C" w:rsidRDefault="00072913" w:rsidP="0094175A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To </w:t>
            </w:r>
            <w:r w:rsidR="00F71F88">
              <w:rPr>
                <w:rFonts w:ascii="Verdana" w:hAnsi="Verdana"/>
                <w:sz w:val="20"/>
                <w:szCs w:val="20"/>
                <w:lang w:val="en-GB"/>
              </w:rPr>
              <w:t>support</w:t>
            </w:r>
            <w:r w:rsidR="00500737">
              <w:rPr>
                <w:rFonts w:ascii="Verdana" w:hAnsi="Verdana"/>
                <w:sz w:val="20"/>
                <w:szCs w:val="20"/>
                <w:lang w:val="en-GB"/>
              </w:rPr>
              <w:t xml:space="preserve"> countries in </w:t>
            </w:r>
            <w:r w:rsidR="0081180C">
              <w:rPr>
                <w:rFonts w:ascii="Verdana" w:hAnsi="Verdana"/>
                <w:sz w:val="20"/>
                <w:szCs w:val="20"/>
                <w:lang w:val="en-GB"/>
              </w:rPr>
              <w:t xml:space="preserve">their national </w:t>
            </w:r>
            <w:r w:rsidR="00500737">
              <w:rPr>
                <w:rFonts w:ascii="Verdana" w:hAnsi="Verdana"/>
                <w:sz w:val="20"/>
                <w:szCs w:val="20"/>
                <w:lang w:val="en-GB"/>
              </w:rPr>
              <w:t>implement</w:t>
            </w:r>
            <w:r w:rsidR="0081180C">
              <w:rPr>
                <w:rFonts w:ascii="Verdana" w:hAnsi="Verdana"/>
                <w:sz w:val="20"/>
                <w:szCs w:val="20"/>
                <w:lang w:val="en-GB"/>
              </w:rPr>
              <w:t>ation efforts</w:t>
            </w:r>
            <w:r w:rsidR="0050073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F71F88">
              <w:rPr>
                <w:rFonts w:ascii="Verdana" w:hAnsi="Verdana"/>
                <w:sz w:val="20"/>
                <w:szCs w:val="20"/>
                <w:lang w:val="en-GB"/>
              </w:rPr>
              <w:t>regarding the mobility strategy</w:t>
            </w:r>
            <w:r w:rsidR="005C3257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</w:p>
          <w:p w:rsidR="00465507" w:rsidRPr="00F71F88" w:rsidRDefault="00465507" w:rsidP="00F71F88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To contribute to the evaluation of the strategy “EHEA in a Global Setting” </w:t>
            </w:r>
            <w:r w:rsidR="00F71F88">
              <w:rPr>
                <w:rFonts w:ascii="Verdana" w:hAnsi="Verdana"/>
                <w:sz w:val="20"/>
                <w:szCs w:val="20"/>
                <w:lang w:val="en-GB"/>
              </w:rPr>
              <w:t xml:space="preserve">and to the </w:t>
            </w:r>
            <w:r w:rsidR="00363E7C">
              <w:rPr>
                <w:rFonts w:ascii="Verdana" w:hAnsi="Verdana"/>
                <w:sz w:val="20"/>
                <w:szCs w:val="20"/>
                <w:lang w:val="en-GB"/>
              </w:rPr>
              <w:t xml:space="preserve">further internationalisation </w:t>
            </w:r>
            <w:r w:rsidR="00F71F88">
              <w:rPr>
                <w:rFonts w:ascii="Verdana" w:hAnsi="Verdana"/>
                <w:sz w:val="20"/>
                <w:szCs w:val="20"/>
                <w:lang w:val="en-GB"/>
              </w:rPr>
              <w:t>of</w:t>
            </w:r>
            <w:r w:rsidRPr="00F71F88">
              <w:rPr>
                <w:rFonts w:ascii="Verdana" w:hAnsi="Verdana"/>
                <w:sz w:val="20"/>
                <w:szCs w:val="20"/>
                <w:lang w:val="en-GB"/>
              </w:rPr>
              <w:t xml:space="preserve"> the EHEA</w:t>
            </w:r>
            <w:r w:rsidR="00F71F88" w:rsidRPr="00F71F88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</w:p>
          <w:p w:rsidR="00072913" w:rsidRPr="00A9398D" w:rsidRDefault="00F71F88" w:rsidP="00F71F88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To review the Bologna Policy concept with the aim of further improving policy dialogue wi</w:t>
            </w:r>
            <w:r w:rsidR="003F0F6B">
              <w:rPr>
                <w:rFonts w:ascii="Verdana" w:hAnsi="Verdana"/>
                <w:sz w:val="20"/>
                <w:szCs w:val="20"/>
                <w:lang w:val="en-GB"/>
              </w:rPr>
              <w:t>th non-EHE</w:t>
            </w:r>
            <w:r w:rsidR="005C3257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="003F0F6B">
              <w:rPr>
                <w:rFonts w:ascii="Verdana" w:hAnsi="Verdana"/>
                <w:sz w:val="20"/>
                <w:szCs w:val="20"/>
                <w:lang w:val="en-GB"/>
              </w:rPr>
              <w:t xml:space="preserve"> countries, </w:t>
            </w:r>
          </w:p>
        </w:tc>
      </w:tr>
      <w:tr w:rsidR="00072913" w:rsidRPr="00A9398D" w:rsidTr="00B850A5">
        <w:trPr>
          <w:trHeight w:val="844"/>
        </w:trPr>
        <w:tc>
          <w:tcPr>
            <w:tcW w:w="9540" w:type="dxa"/>
          </w:tcPr>
          <w:p w:rsidR="00072913" w:rsidRPr="00A9398D" w:rsidRDefault="00072913" w:rsidP="00B850A5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 w:rsidRPr="00A9398D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Reference to the </w:t>
            </w:r>
            <w:proofErr w:type="spellStart"/>
            <w:r w:rsidR="00AD0079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Bucharest</w:t>
            </w:r>
            <w:proofErr w:type="spellEnd"/>
            <w:r w:rsidRPr="00A9398D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Communiqué </w:t>
            </w:r>
          </w:p>
          <w:p w:rsidR="00072913" w:rsidRDefault="00072913" w:rsidP="00B850A5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A9398D">
              <w:rPr>
                <w:rFonts w:ascii="Verdana" w:hAnsi="Verdana"/>
                <w:sz w:val="20"/>
                <w:szCs w:val="20"/>
                <w:lang w:val="fr-FR"/>
              </w:rPr>
              <w:t>Paragraphs</w:t>
            </w:r>
            <w:proofErr w:type="spellEnd"/>
            <w:r w:rsidRPr="00A9398D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0C5027">
              <w:rPr>
                <w:rFonts w:ascii="Verdana" w:hAnsi="Verdana"/>
                <w:sz w:val="20"/>
                <w:szCs w:val="20"/>
                <w:lang w:val="fr-FR"/>
              </w:rPr>
              <w:t>23</w:t>
            </w:r>
            <w:r w:rsidR="00AD0079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Pr="00A9398D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AD0079">
              <w:rPr>
                <w:rFonts w:ascii="Verdana" w:hAnsi="Verdana"/>
                <w:sz w:val="20"/>
                <w:szCs w:val="20"/>
                <w:lang w:val="fr-FR"/>
              </w:rPr>
              <w:t>8</w:t>
            </w:r>
            <w:r w:rsidRPr="00A9398D">
              <w:rPr>
                <w:rFonts w:ascii="Verdana" w:hAnsi="Verdana"/>
                <w:sz w:val="20"/>
                <w:szCs w:val="20"/>
                <w:lang w:val="fr-FR"/>
              </w:rPr>
              <w:t xml:space="preserve">. </w:t>
            </w:r>
          </w:p>
          <w:p w:rsidR="00AD0079" w:rsidRPr="00AD0079" w:rsidRDefault="00AD0079" w:rsidP="00B850A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proofErr w:type="spellStart"/>
            <w:r w:rsidRPr="00AD0079">
              <w:rPr>
                <w:rFonts w:ascii="Verdana" w:hAnsi="Verdana"/>
                <w:b/>
                <w:sz w:val="20"/>
                <w:szCs w:val="20"/>
                <w:lang w:val="fr-FR"/>
              </w:rPr>
              <w:t>Mobili</w:t>
            </w:r>
            <w:r w:rsidR="000C5027">
              <w:rPr>
                <w:rFonts w:ascii="Verdana" w:hAnsi="Verdana"/>
                <w:b/>
                <w:sz w:val="20"/>
                <w:szCs w:val="20"/>
                <w:lang w:val="fr-FR"/>
              </w:rPr>
              <w:t>ty</w:t>
            </w:r>
            <w:proofErr w:type="spellEnd"/>
            <w:r w:rsidR="000C5027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C5027">
              <w:rPr>
                <w:rFonts w:ascii="Verdana" w:hAnsi="Verdana"/>
                <w:b/>
                <w:sz w:val="20"/>
                <w:szCs w:val="20"/>
                <w:lang w:val="fr-FR"/>
              </w:rPr>
              <w:t>Strategy</w:t>
            </w:r>
            <w:proofErr w:type="spellEnd"/>
            <w:r w:rsidR="000C5027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2020 for the EHEA «</w:t>
            </w:r>
            <w:proofErr w:type="spellStart"/>
            <w:r w:rsidR="000C5027">
              <w:rPr>
                <w:rFonts w:ascii="Verdana" w:hAnsi="Verdana"/>
                <w:b/>
                <w:sz w:val="20"/>
                <w:szCs w:val="20"/>
                <w:lang w:val="fr-FR"/>
              </w:rPr>
              <w:t>Mobility</w:t>
            </w:r>
            <w:proofErr w:type="spellEnd"/>
            <w:r w:rsidR="000C5027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for </w:t>
            </w:r>
            <w:proofErr w:type="spellStart"/>
            <w:r w:rsidR="000C5027">
              <w:rPr>
                <w:rFonts w:ascii="Verdana" w:hAnsi="Verdana"/>
                <w:b/>
                <w:sz w:val="20"/>
                <w:szCs w:val="20"/>
                <w:lang w:val="fr-FR"/>
              </w:rPr>
              <w:t>better</w:t>
            </w:r>
            <w:proofErr w:type="spellEnd"/>
            <w:r w:rsidR="000C5027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Learning</w:t>
            </w:r>
            <w:r w:rsidRPr="00AD0079">
              <w:rPr>
                <w:rFonts w:ascii="Verdana" w:hAnsi="Verdana"/>
                <w:b/>
                <w:sz w:val="20"/>
                <w:szCs w:val="20"/>
                <w:lang w:val="fr-FR"/>
              </w:rPr>
              <w:t>»</w:t>
            </w:r>
          </w:p>
        </w:tc>
      </w:tr>
      <w:tr w:rsidR="00072913" w:rsidRPr="002D6983" w:rsidTr="00B850A5">
        <w:trPr>
          <w:trHeight w:val="1374"/>
        </w:trPr>
        <w:tc>
          <w:tcPr>
            <w:tcW w:w="9540" w:type="dxa"/>
          </w:tcPr>
          <w:p w:rsidR="00072913" w:rsidRPr="00A9398D" w:rsidRDefault="00072913" w:rsidP="00B850A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9398D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Specific tasks </w:t>
            </w:r>
          </w:p>
          <w:p w:rsidR="00E73053" w:rsidRDefault="00E73053" w:rsidP="00E73053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</w:t>
            </w:r>
            <w:r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o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propose to the BFUG guidelines on staff mobility, including a definition of “staff” and an analysis of current barriers to staff mobility</w:t>
            </w:r>
            <w:r w:rsidR="00D72A6E">
              <w:rPr>
                <w:rFonts w:ascii="Verdana" w:hAnsi="Verdana"/>
                <w:sz w:val="20"/>
                <w:szCs w:val="20"/>
                <w:lang w:val="en-GB"/>
              </w:rPr>
              <w:t>, such as transferability of pensions and social security benefits,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as well as </w:t>
            </w:r>
            <w:r w:rsidR="003600FD">
              <w:rPr>
                <w:rFonts w:ascii="Verdana" w:hAnsi="Verdana"/>
                <w:sz w:val="20"/>
                <w:szCs w:val="20"/>
                <w:lang w:val="en-GB"/>
              </w:rPr>
              <w:t xml:space="preserve">a set of potential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measures to overcome them</w:t>
            </w:r>
            <w:r w:rsidR="003600FD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</w:p>
          <w:p w:rsidR="003600FD" w:rsidRPr="00E73053" w:rsidRDefault="003600FD" w:rsidP="003600FD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To contribute to the national implementation </w:t>
            </w:r>
            <w:r w:rsidR="00D72A6E">
              <w:rPr>
                <w:rFonts w:ascii="Verdana" w:hAnsi="Verdana"/>
                <w:sz w:val="20"/>
                <w:szCs w:val="20"/>
                <w:lang w:val="en-GB"/>
              </w:rPr>
              <w:t>of selected measures of the mobility strategy</w:t>
            </w:r>
            <w:r w:rsidR="00380C04" w:rsidRPr="00A61D9E">
              <w:rPr>
                <w:rFonts w:ascii="Verdana" w:hAnsi="Verdana"/>
                <w:sz w:val="20"/>
                <w:szCs w:val="20"/>
                <w:lang w:val="en-GB"/>
              </w:rPr>
              <w:t>, such as dealing with cases of imbalanced mobility</w:t>
            </w:r>
            <w:r w:rsidR="00380C04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  <w:r w:rsidR="00D72A6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by facilitating peer learning</w:t>
            </w:r>
            <w:r w:rsidR="00380C04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exchange of good pra</w:t>
            </w:r>
            <w:r w:rsidR="000C5027">
              <w:rPr>
                <w:rFonts w:ascii="Verdana" w:hAnsi="Verdana"/>
                <w:sz w:val="20"/>
                <w:szCs w:val="20"/>
                <w:lang w:val="en-GB"/>
              </w:rPr>
              <w:t>ctices and regional cooperation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,</w:t>
            </w:r>
          </w:p>
          <w:p w:rsidR="00072913" w:rsidRDefault="00C21371" w:rsidP="0094175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To </w:t>
            </w:r>
            <w:r w:rsidR="00BD5B3B">
              <w:rPr>
                <w:rFonts w:ascii="Verdana" w:hAnsi="Verdana"/>
                <w:sz w:val="20"/>
                <w:szCs w:val="20"/>
                <w:lang w:val="en-GB"/>
              </w:rPr>
              <w:t xml:space="preserve">explore </w:t>
            </w:r>
            <w:r w:rsidR="00E73053">
              <w:rPr>
                <w:rFonts w:ascii="Verdana" w:hAnsi="Verdana"/>
                <w:sz w:val="20"/>
                <w:szCs w:val="20"/>
                <w:lang w:val="en-GB"/>
              </w:rPr>
              <w:t>options of</w:t>
            </w:r>
            <w:r w:rsidR="00BD5B3B">
              <w:rPr>
                <w:rFonts w:ascii="Verdana" w:hAnsi="Verdana"/>
                <w:sz w:val="20"/>
                <w:szCs w:val="20"/>
                <w:lang w:val="en-GB"/>
              </w:rPr>
              <w:t xml:space="preserve"> improving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BD5B3B">
              <w:rPr>
                <w:rFonts w:ascii="Verdana" w:hAnsi="Verdana"/>
                <w:sz w:val="20"/>
                <w:szCs w:val="20"/>
                <w:lang w:val="en-GB"/>
              </w:rPr>
              <w:t>the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information on study programmes </w:t>
            </w:r>
            <w:r w:rsidR="00BD5B3B">
              <w:rPr>
                <w:rFonts w:ascii="Verdana" w:hAnsi="Verdana"/>
                <w:sz w:val="20"/>
                <w:szCs w:val="20"/>
                <w:lang w:val="en-GB"/>
              </w:rPr>
              <w:t>and admission systems in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the EHEA</w:t>
            </w:r>
            <w:r w:rsidR="00BD5B3B">
              <w:rPr>
                <w:rFonts w:ascii="Verdana" w:hAnsi="Verdana"/>
                <w:sz w:val="20"/>
                <w:szCs w:val="20"/>
                <w:lang w:val="en-GB"/>
              </w:rPr>
              <w:t xml:space="preserve"> (measure 8 of the mobility strategy),</w:t>
            </w:r>
          </w:p>
          <w:p w:rsidR="00506B9E" w:rsidRDefault="00D72A6E" w:rsidP="00506B9E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1A2CE5">
              <w:rPr>
                <w:rFonts w:ascii="Verdana" w:hAnsi="Verdana"/>
                <w:sz w:val="20"/>
                <w:szCs w:val="20"/>
                <w:lang w:val="en-GB"/>
              </w:rPr>
              <w:t xml:space="preserve">To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examine</w:t>
            </w:r>
            <w:r w:rsidRPr="001A2CE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ways</w:t>
            </w:r>
            <w:r w:rsidRPr="001A2CE5">
              <w:rPr>
                <w:rFonts w:ascii="Verdana" w:hAnsi="Verdana"/>
                <w:sz w:val="20"/>
                <w:szCs w:val="20"/>
                <w:lang w:val="en-GB"/>
              </w:rPr>
              <w:t xml:space="preserve"> of overcoming existing mobility obstacles, </w:t>
            </w:r>
            <w:r w:rsidR="00055DCB">
              <w:rPr>
                <w:rFonts w:ascii="Verdana" w:hAnsi="Verdana"/>
                <w:sz w:val="20"/>
                <w:szCs w:val="20"/>
                <w:lang w:val="en-GB"/>
              </w:rPr>
              <w:t xml:space="preserve">such as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improving </w:t>
            </w:r>
            <w:r w:rsidRPr="001A2CE5">
              <w:rPr>
                <w:rFonts w:ascii="Verdana" w:hAnsi="Verdana"/>
                <w:sz w:val="20"/>
                <w:szCs w:val="20"/>
                <w:lang w:val="en-GB"/>
              </w:rPr>
              <w:t>visa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and immigration </w:t>
            </w:r>
            <w:r w:rsidRPr="001A2CE5">
              <w:rPr>
                <w:rFonts w:ascii="Verdana" w:hAnsi="Verdana"/>
                <w:sz w:val="20"/>
                <w:szCs w:val="20"/>
                <w:lang w:val="en-GB"/>
              </w:rPr>
              <w:t>procedures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and the</w:t>
            </w:r>
            <w:r w:rsidRPr="001A2CE5">
              <w:rPr>
                <w:rFonts w:ascii="Verdana" w:hAnsi="Verdana"/>
                <w:sz w:val="20"/>
                <w:szCs w:val="20"/>
                <w:lang w:val="en-GB"/>
              </w:rPr>
              <w:t xml:space="preserve"> application of transparency instruments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</w:p>
          <w:p w:rsidR="00506B9E" w:rsidRDefault="00506B9E" w:rsidP="00506B9E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To explore whether a common approach on the portability of grants, loans and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scholarships is feasible and to be recommended,</w:t>
            </w:r>
          </w:p>
          <w:p w:rsidR="003F0F6B" w:rsidRDefault="003F0F6B" w:rsidP="003F0F6B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To contribute to the reporting exercise on the implementation of the mobility strategy</w:t>
            </w:r>
            <w:r w:rsidR="00C21371">
              <w:rPr>
                <w:rFonts w:ascii="Verdana" w:hAnsi="Verdana"/>
                <w:sz w:val="20"/>
                <w:szCs w:val="20"/>
                <w:lang w:val="en-GB"/>
              </w:rPr>
              <w:t xml:space="preserve">, in particular </w:t>
            </w:r>
            <w:r w:rsidR="00E73053">
              <w:rPr>
                <w:rFonts w:ascii="Verdana" w:hAnsi="Verdana"/>
                <w:sz w:val="20"/>
                <w:szCs w:val="20"/>
                <w:lang w:val="en-GB"/>
              </w:rPr>
              <w:t>by</w:t>
            </w:r>
            <w:r w:rsidR="00C21371">
              <w:rPr>
                <w:rFonts w:ascii="Verdana" w:hAnsi="Verdana"/>
                <w:sz w:val="20"/>
                <w:szCs w:val="20"/>
                <w:lang w:val="en-GB"/>
              </w:rPr>
              <w:t xml:space="preserve"> assisting the WG on reporting in drafting a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C21371">
              <w:rPr>
                <w:rFonts w:ascii="Verdana" w:hAnsi="Verdana"/>
                <w:sz w:val="20"/>
                <w:szCs w:val="20"/>
                <w:lang w:val="en-GB"/>
              </w:rPr>
              <w:t xml:space="preserve">suitable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questionnaire as well as </w:t>
            </w:r>
            <w:r w:rsidR="00E73053">
              <w:rPr>
                <w:rFonts w:ascii="Verdana" w:hAnsi="Verdana"/>
                <w:sz w:val="20"/>
                <w:szCs w:val="20"/>
                <w:lang w:val="en-GB"/>
              </w:rPr>
              <w:t>by</w:t>
            </w:r>
            <w:r w:rsidR="00C21371">
              <w:rPr>
                <w:rFonts w:ascii="Verdana" w:hAnsi="Verdana"/>
                <w:sz w:val="20"/>
                <w:szCs w:val="20"/>
                <w:lang w:val="en-GB"/>
              </w:rPr>
              <w:t xml:space="preserve"> proposing conclusions on the progress made and further action</w:t>
            </w:r>
            <w:r w:rsidR="00E73053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</w:p>
          <w:p w:rsidR="00E73053" w:rsidRDefault="00E73053" w:rsidP="00E73053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To examine options of assessing and improving the international attractiveness of the EHEA</w:t>
            </w:r>
            <w:r w:rsidR="00D72A6E">
              <w:rPr>
                <w:rFonts w:ascii="Verdana" w:hAnsi="Verdana"/>
                <w:sz w:val="20"/>
                <w:szCs w:val="20"/>
                <w:lang w:val="en-GB"/>
              </w:rPr>
              <w:t xml:space="preserve"> and to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propos</w:t>
            </w:r>
            <w:r w:rsidR="00D72A6E">
              <w:rPr>
                <w:rFonts w:ascii="Verdana" w:hAnsi="Verdana"/>
                <w:sz w:val="20"/>
                <w:szCs w:val="20"/>
                <w:lang w:val="en-GB"/>
              </w:rPr>
              <w:t>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 target on mobility into the EHEA,</w:t>
            </w:r>
          </w:p>
          <w:p w:rsidR="00E73053" w:rsidRPr="00D72A6E" w:rsidRDefault="00F71F88" w:rsidP="00D72A6E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To propose </w:t>
            </w:r>
            <w:r w:rsidR="00E73053">
              <w:rPr>
                <w:rFonts w:ascii="Verdana" w:hAnsi="Verdana"/>
                <w:sz w:val="20"/>
                <w:szCs w:val="20"/>
                <w:lang w:val="en-GB"/>
              </w:rPr>
              <w:t xml:space="preserve">to the BFUG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guidelines for further internationalisation developments</w:t>
            </w:r>
            <w:r w:rsidR="00E73053">
              <w:rPr>
                <w:rFonts w:ascii="Verdana" w:hAnsi="Verdana"/>
                <w:sz w:val="20"/>
                <w:szCs w:val="20"/>
                <w:lang w:val="en-GB"/>
              </w:rPr>
              <w:t xml:space="preserve"> in the EHEA</w:t>
            </w:r>
            <w:r w:rsidR="00D72A6E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072913" w:rsidRPr="002D6983" w:rsidTr="00B850A5">
        <w:trPr>
          <w:trHeight w:val="2379"/>
        </w:trPr>
        <w:tc>
          <w:tcPr>
            <w:tcW w:w="9540" w:type="dxa"/>
          </w:tcPr>
          <w:p w:rsidR="00072913" w:rsidRPr="00A9398D" w:rsidRDefault="00072913" w:rsidP="00B850A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9398D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lastRenderedPageBreak/>
              <w:t xml:space="preserve">Reporting </w:t>
            </w:r>
          </w:p>
          <w:p w:rsidR="00072913" w:rsidRPr="00A9398D" w:rsidRDefault="00072913" w:rsidP="00B850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9398D">
              <w:rPr>
                <w:rFonts w:ascii="Verdana" w:hAnsi="Verdana"/>
                <w:sz w:val="20"/>
                <w:szCs w:val="20"/>
                <w:u w:val="single"/>
                <w:lang w:val="en-GB"/>
              </w:rPr>
              <w:t>Minutes</w:t>
            </w:r>
            <w:r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 of working group meetings will be made available to </w:t>
            </w:r>
            <w:r w:rsidR="000C5027">
              <w:rPr>
                <w:rFonts w:ascii="Verdana" w:hAnsi="Verdana"/>
                <w:sz w:val="20"/>
                <w:szCs w:val="20"/>
                <w:lang w:val="en-GB"/>
              </w:rPr>
              <w:t xml:space="preserve">the </w:t>
            </w:r>
            <w:r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BFUG </w:t>
            </w:r>
            <w:r w:rsidR="00AD0079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n the </w:t>
            </w:r>
            <w:r w:rsidR="00AD0079">
              <w:rPr>
                <w:rFonts w:ascii="Verdana" w:hAnsi="Verdana"/>
                <w:sz w:val="20"/>
                <w:szCs w:val="20"/>
                <w:lang w:val="en-GB"/>
              </w:rPr>
              <w:t>restricted</w:t>
            </w:r>
            <w:r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D0079">
              <w:rPr>
                <w:rFonts w:ascii="Verdana" w:hAnsi="Verdana"/>
                <w:sz w:val="20"/>
                <w:szCs w:val="20"/>
                <w:lang w:val="en-GB"/>
              </w:rPr>
              <w:t xml:space="preserve">area </w:t>
            </w:r>
            <w:r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of the website (by the Bologna Secretariat). </w:t>
            </w:r>
          </w:p>
          <w:p w:rsidR="00072913" w:rsidRPr="00A9398D" w:rsidRDefault="00072913" w:rsidP="00B850A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072913" w:rsidRPr="00A9398D" w:rsidRDefault="00072913" w:rsidP="00B850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martTag w:uri="urn:schemas-microsoft-com:office:smarttags" w:element="PersonName">
              <w:r w:rsidRPr="00A9398D">
                <w:rPr>
                  <w:rFonts w:ascii="Verdana" w:hAnsi="Verdana"/>
                  <w:sz w:val="20"/>
                  <w:szCs w:val="20"/>
                  <w:u w:val="single"/>
                  <w:lang w:val="en-GB"/>
                </w:rPr>
                <w:t>BFUG</w:t>
              </w:r>
            </w:smartTag>
            <w:r w:rsidRPr="00A9398D">
              <w:rPr>
                <w:rFonts w:ascii="Verdana" w:hAnsi="Verdana"/>
                <w:sz w:val="20"/>
                <w:szCs w:val="20"/>
                <w:u w:val="single"/>
                <w:lang w:val="en-GB"/>
              </w:rPr>
              <w:t xml:space="preserve"> should also receive regular reports and updates</w:t>
            </w:r>
            <w:r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. </w:t>
            </w:r>
          </w:p>
          <w:p w:rsidR="00072913" w:rsidRPr="00A9398D" w:rsidRDefault="00072913" w:rsidP="00B850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To allow for good communication with </w:t>
            </w:r>
            <w:r w:rsidR="00D438A9">
              <w:rPr>
                <w:rFonts w:ascii="Verdana" w:hAnsi="Verdana"/>
                <w:sz w:val="20"/>
                <w:szCs w:val="20"/>
                <w:lang w:val="en-GB"/>
              </w:rPr>
              <w:t xml:space="preserve">the </w:t>
            </w:r>
            <w:r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BFUG as a whole and for the necessary consultations, progress reports should be submitted at least two weeks before each BFUG meeting. In between </w:t>
            </w:r>
            <w:smartTag w:uri="urn:schemas-microsoft-com:office:smarttags" w:element="PersonName">
              <w:r w:rsidRPr="00A9398D">
                <w:rPr>
                  <w:rFonts w:ascii="Verdana" w:hAnsi="Verdana"/>
                  <w:sz w:val="20"/>
                  <w:szCs w:val="20"/>
                  <w:lang w:val="en-GB"/>
                </w:rPr>
                <w:t>BFUG</w:t>
              </w:r>
            </w:smartTag>
            <w:r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 meetings, updates can be circulated by the </w:t>
            </w:r>
            <w:smartTag w:uri="urn:schemas-microsoft-com:office:smarttags" w:element="PersonName">
              <w:r w:rsidRPr="00A9398D">
                <w:rPr>
                  <w:rFonts w:ascii="Verdana" w:hAnsi="Verdana"/>
                  <w:sz w:val="20"/>
                  <w:szCs w:val="20"/>
                  <w:lang w:val="en-GB"/>
                </w:rPr>
                <w:t>Bologna Secretariat</w:t>
              </w:r>
            </w:smartTag>
            <w:r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 via e-mail.  </w:t>
            </w:r>
          </w:p>
          <w:p w:rsidR="00072913" w:rsidRDefault="00072913" w:rsidP="00B850A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72A6E" w:rsidRPr="00D72A6E" w:rsidRDefault="00D72A6E" w:rsidP="00B850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D45D5">
              <w:rPr>
                <w:rFonts w:ascii="Verdana" w:hAnsi="Verdana"/>
                <w:sz w:val="20"/>
                <w:szCs w:val="20"/>
                <w:lang w:val="en-GB"/>
              </w:rPr>
              <w:t>The working group may focu</w:t>
            </w:r>
            <w:r w:rsidR="000C5027">
              <w:rPr>
                <w:rFonts w:ascii="Verdana" w:hAnsi="Verdana"/>
                <w:sz w:val="20"/>
                <w:szCs w:val="20"/>
                <w:lang w:val="en-GB"/>
              </w:rPr>
              <w:t xml:space="preserve">s its activities on a selection </w:t>
            </w:r>
            <w:r w:rsidRPr="001D45D5">
              <w:rPr>
                <w:rFonts w:ascii="Verdana" w:hAnsi="Verdana"/>
                <w:sz w:val="20"/>
                <w:szCs w:val="20"/>
                <w:lang w:val="en-GB"/>
              </w:rPr>
              <w:t>of the above mentioned tasks if it becomes apparent during the working period that some of the tasks do not have the potential to be pursued. In this case the Co-Chairs will inform the BFUG.</w:t>
            </w:r>
          </w:p>
          <w:p w:rsidR="00072913" w:rsidRPr="00A9398D" w:rsidRDefault="00072913" w:rsidP="00B850A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72913" w:rsidRPr="002D6983" w:rsidTr="00B850A5">
        <w:trPr>
          <w:trHeight w:val="1339"/>
        </w:trPr>
        <w:tc>
          <w:tcPr>
            <w:tcW w:w="9540" w:type="dxa"/>
          </w:tcPr>
          <w:p w:rsidR="00072913" w:rsidRPr="00A9398D" w:rsidRDefault="00072913" w:rsidP="00B850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9398D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Meeting schedule </w:t>
            </w:r>
          </w:p>
          <w:p w:rsidR="00D438A9" w:rsidRDefault="00D438A9" w:rsidP="00B850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Two to three meetings per year</w:t>
            </w:r>
          </w:p>
          <w:p w:rsidR="00072913" w:rsidRPr="00A9398D" w:rsidRDefault="00A61D9E" w:rsidP="00B850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61D9E">
              <w:rPr>
                <w:rFonts w:ascii="Verdana" w:hAnsi="Verdana"/>
                <w:sz w:val="20"/>
                <w:szCs w:val="20"/>
                <w:u w:val="single"/>
                <w:lang w:val="en-GB"/>
              </w:rPr>
              <w:t>Proposal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  <w:r w:rsidR="00072913" w:rsidRPr="00A9398D">
              <w:rPr>
                <w:rFonts w:ascii="Verdana" w:hAnsi="Verdana"/>
                <w:sz w:val="20"/>
                <w:szCs w:val="20"/>
                <w:lang w:val="en-GB"/>
              </w:rPr>
              <w:t>First meeting</w:t>
            </w:r>
            <w:r w:rsidR="00D438A9">
              <w:rPr>
                <w:rFonts w:ascii="Verdana" w:hAnsi="Verdana"/>
                <w:sz w:val="20"/>
                <w:szCs w:val="20"/>
                <w:lang w:val="en-GB"/>
              </w:rPr>
              <w:t xml:space="preserve"> to be held in</w:t>
            </w:r>
            <w:r w:rsidR="00072913"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 Berlin</w:t>
            </w:r>
            <w:r w:rsidR="00D438A9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end of </w:t>
            </w:r>
            <w:r w:rsidR="00D438A9">
              <w:rPr>
                <w:rFonts w:ascii="Verdana" w:hAnsi="Verdana"/>
                <w:sz w:val="20"/>
                <w:szCs w:val="20"/>
                <w:lang w:val="en-GB"/>
              </w:rPr>
              <w:t>November 2012</w:t>
            </w:r>
            <w:r w:rsidR="00072913"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 (to set up a detailed work plan for the period </w:t>
            </w:r>
            <w:r w:rsidR="00D72A6E" w:rsidRPr="00A9398D">
              <w:rPr>
                <w:rFonts w:ascii="Verdana" w:hAnsi="Verdana"/>
                <w:sz w:val="20"/>
                <w:szCs w:val="20"/>
                <w:lang w:val="en-GB"/>
              </w:rPr>
              <w:t>201</w:t>
            </w:r>
            <w:r w:rsidR="00D72A6E"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="00072913" w:rsidRPr="00A9398D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="00D72A6E" w:rsidRPr="00A9398D">
              <w:rPr>
                <w:rFonts w:ascii="Verdana" w:hAnsi="Verdana"/>
                <w:sz w:val="20"/>
                <w:szCs w:val="20"/>
                <w:lang w:val="en-GB"/>
              </w:rPr>
              <w:t>201</w:t>
            </w:r>
            <w:r w:rsidR="00D72A6E"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="00072913" w:rsidRPr="00A9398D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  <w:p w:rsidR="00072913" w:rsidRPr="00A9398D" w:rsidRDefault="00072913" w:rsidP="00B850A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72913" w:rsidRPr="002D6983" w:rsidTr="00B850A5">
        <w:trPr>
          <w:trHeight w:val="1084"/>
        </w:trPr>
        <w:tc>
          <w:tcPr>
            <w:tcW w:w="9540" w:type="dxa"/>
          </w:tcPr>
          <w:p w:rsidR="00072913" w:rsidRPr="00A9398D" w:rsidRDefault="00072913" w:rsidP="00B850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9398D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Liaison with other action lines</w:t>
            </w:r>
            <w:r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072913" w:rsidRPr="00A9398D" w:rsidRDefault="00072913" w:rsidP="00B850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Cooperation with other working groups, in particular those on </w:t>
            </w:r>
            <w:r w:rsidR="00D438A9" w:rsidRPr="00A9398D">
              <w:rPr>
                <w:rFonts w:ascii="Verdana" w:hAnsi="Verdana"/>
                <w:sz w:val="20"/>
                <w:szCs w:val="20"/>
                <w:lang w:val="en-GB"/>
              </w:rPr>
              <w:t>reporting on the implementation of the Bologna Process</w:t>
            </w:r>
            <w:r w:rsidR="00D438A9">
              <w:rPr>
                <w:rFonts w:ascii="Verdana" w:hAnsi="Verdana"/>
                <w:sz w:val="20"/>
                <w:szCs w:val="20"/>
                <w:lang w:val="en-GB"/>
              </w:rPr>
              <w:t>, on the</w:t>
            </w:r>
            <w:r w:rsidR="00D438A9"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A9398D">
              <w:rPr>
                <w:rFonts w:ascii="Verdana" w:hAnsi="Verdana"/>
                <w:sz w:val="20"/>
                <w:szCs w:val="20"/>
                <w:lang w:val="en-GB"/>
              </w:rPr>
              <w:t>social dimension</w:t>
            </w:r>
            <w:r w:rsidR="00D72A6E">
              <w:rPr>
                <w:rFonts w:ascii="Verdana" w:hAnsi="Verdana"/>
                <w:sz w:val="20"/>
                <w:szCs w:val="20"/>
                <w:lang w:val="en-GB"/>
              </w:rPr>
              <w:t xml:space="preserve"> and life-long learning as well as</w:t>
            </w:r>
            <w:r w:rsidR="00D72A6E"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72A6E">
              <w:rPr>
                <w:rFonts w:ascii="Verdana" w:hAnsi="Verdana"/>
                <w:sz w:val="20"/>
                <w:szCs w:val="20"/>
                <w:lang w:val="en-GB"/>
              </w:rPr>
              <w:t>the structural working group</w:t>
            </w:r>
            <w:r w:rsidRPr="00A9398D">
              <w:rPr>
                <w:rFonts w:ascii="Verdana" w:hAnsi="Verdana"/>
                <w:sz w:val="20"/>
                <w:szCs w:val="20"/>
                <w:lang w:val="en-GB"/>
              </w:rPr>
              <w:t xml:space="preserve"> will be organized in the relevant context.</w:t>
            </w:r>
          </w:p>
          <w:p w:rsidR="00072913" w:rsidRPr="00A9398D" w:rsidRDefault="00072913" w:rsidP="00B850A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72913" w:rsidRPr="00A9398D" w:rsidTr="00B850A5">
        <w:trPr>
          <w:trHeight w:val="844"/>
        </w:trPr>
        <w:tc>
          <w:tcPr>
            <w:tcW w:w="9540" w:type="dxa"/>
          </w:tcPr>
          <w:p w:rsidR="00072913" w:rsidRPr="00A9398D" w:rsidRDefault="00072913" w:rsidP="00B850A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9398D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Additional remarks </w:t>
            </w:r>
          </w:p>
          <w:p w:rsidR="00072913" w:rsidRPr="00A9398D" w:rsidRDefault="00072913" w:rsidP="00B850A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072913" w:rsidRDefault="00072913"/>
    <w:sectPr w:rsidR="00072913" w:rsidSect="001126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53" w:rsidRDefault="006A6153" w:rsidP="000553CD">
      <w:r>
        <w:separator/>
      </w:r>
    </w:p>
  </w:endnote>
  <w:endnote w:type="continuationSeparator" w:id="0">
    <w:p w:rsidR="006A6153" w:rsidRDefault="006A6153" w:rsidP="0005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19" w:rsidRDefault="001126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19" w:rsidRDefault="001126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19" w:rsidRDefault="00112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53" w:rsidRDefault="006A6153" w:rsidP="000553CD">
      <w:r>
        <w:separator/>
      </w:r>
    </w:p>
  </w:footnote>
  <w:footnote w:type="continuationSeparator" w:id="0">
    <w:p w:rsidR="006A6153" w:rsidRDefault="006A6153" w:rsidP="00055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19" w:rsidRDefault="001126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CD" w:rsidRDefault="00112619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0" allowOverlap="1" wp14:anchorId="71E45FD2" wp14:editId="613CF772">
          <wp:simplePos x="0" y="0"/>
          <wp:positionH relativeFrom="page">
            <wp:posOffset>799465</wp:posOffset>
          </wp:positionH>
          <wp:positionV relativeFrom="page">
            <wp:posOffset>133350</wp:posOffset>
          </wp:positionV>
          <wp:extent cx="6219825" cy="1047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19" w:rsidRDefault="001126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642E"/>
    <w:multiLevelType w:val="hybridMultilevel"/>
    <w:tmpl w:val="74AC45F8"/>
    <w:lvl w:ilvl="0" w:tplc="B8B0DDCC">
      <w:start w:val="1"/>
      <w:numFmt w:val="bullet"/>
      <w:lvlText w:val=""/>
      <w:lvlJc w:val="left"/>
      <w:pPr>
        <w:tabs>
          <w:tab w:val="num" w:pos="625"/>
        </w:tabs>
        <w:ind w:left="625" w:hanging="341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3025D6"/>
    <w:multiLevelType w:val="hybridMultilevel"/>
    <w:tmpl w:val="5644DE28"/>
    <w:lvl w:ilvl="0" w:tplc="AF4EB96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75A"/>
    <w:rsid w:val="000553CD"/>
    <w:rsid w:val="00055DCB"/>
    <w:rsid w:val="00072913"/>
    <w:rsid w:val="000C5027"/>
    <w:rsid w:val="000D7CE7"/>
    <w:rsid w:val="00112619"/>
    <w:rsid w:val="00112FEE"/>
    <w:rsid w:val="00144311"/>
    <w:rsid w:val="00225356"/>
    <w:rsid w:val="002D6983"/>
    <w:rsid w:val="002E5B7C"/>
    <w:rsid w:val="003600FD"/>
    <w:rsid w:val="00363E7C"/>
    <w:rsid w:val="00370D56"/>
    <w:rsid w:val="00380C04"/>
    <w:rsid w:val="00382AE4"/>
    <w:rsid w:val="003C13EA"/>
    <w:rsid w:val="003F0F6B"/>
    <w:rsid w:val="00403877"/>
    <w:rsid w:val="00465507"/>
    <w:rsid w:val="004751CC"/>
    <w:rsid w:val="00494FFC"/>
    <w:rsid w:val="004A2B90"/>
    <w:rsid w:val="00500737"/>
    <w:rsid w:val="00506B9E"/>
    <w:rsid w:val="00532987"/>
    <w:rsid w:val="0055002E"/>
    <w:rsid w:val="005655DC"/>
    <w:rsid w:val="00571FAB"/>
    <w:rsid w:val="005C3257"/>
    <w:rsid w:val="00633FD5"/>
    <w:rsid w:val="006A6153"/>
    <w:rsid w:val="006C4A70"/>
    <w:rsid w:val="00734B51"/>
    <w:rsid w:val="00763B50"/>
    <w:rsid w:val="0081180C"/>
    <w:rsid w:val="00866843"/>
    <w:rsid w:val="00885E4C"/>
    <w:rsid w:val="0089485B"/>
    <w:rsid w:val="00910E3B"/>
    <w:rsid w:val="0094175A"/>
    <w:rsid w:val="00943A47"/>
    <w:rsid w:val="00976FC5"/>
    <w:rsid w:val="009C3DE9"/>
    <w:rsid w:val="00A270E1"/>
    <w:rsid w:val="00A61D9E"/>
    <w:rsid w:val="00A9398D"/>
    <w:rsid w:val="00AD0079"/>
    <w:rsid w:val="00AE59D5"/>
    <w:rsid w:val="00B850A5"/>
    <w:rsid w:val="00BD5B3B"/>
    <w:rsid w:val="00BE3540"/>
    <w:rsid w:val="00C21371"/>
    <w:rsid w:val="00C7333E"/>
    <w:rsid w:val="00CC6ABE"/>
    <w:rsid w:val="00CE4C5F"/>
    <w:rsid w:val="00D24F5E"/>
    <w:rsid w:val="00D4045B"/>
    <w:rsid w:val="00D438A9"/>
    <w:rsid w:val="00D72A6E"/>
    <w:rsid w:val="00DD5386"/>
    <w:rsid w:val="00E22A04"/>
    <w:rsid w:val="00E73053"/>
    <w:rsid w:val="00E77707"/>
    <w:rsid w:val="00EC0A8C"/>
    <w:rsid w:val="00F56850"/>
    <w:rsid w:val="00F7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5A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175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2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FEE"/>
    <w:rPr>
      <w:rFonts w:ascii="Times New Roman" w:eastAsia="Times New Roman" w:hAnsi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FEE"/>
    <w:rPr>
      <w:rFonts w:ascii="Times New Roman" w:eastAsia="Times New Roman" w:hAnsi="Times New Roman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EE"/>
    <w:rPr>
      <w:rFonts w:ascii="Tahoma" w:eastAsia="Times New Roman" w:hAnsi="Tahoma" w:cs="Tahoma"/>
      <w:sz w:val="16"/>
      <w:szCs w:val="16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0553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3CD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553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3CD"/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DefaultParagraphFont"/>
    <w:rsid w:val="00363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ottfried.Bacher@bmwf.gv.at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peter.greisler@bmbf.bund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F7CF842B0E24AA6C7C4E6F5B069E9" ma:contentTypeVersion="0" ma:contentTypeDescription="Create a new document." ma:contentTypeScope="" ma:versionID="7bae795dcadf6c0c26748871d2c4d08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32F0C7-5D0D-44C0-BDE0-9E16A5D98C26}"/>
</file>

<file path=customXml/itemProps2.xml><?xml version="1.0" encoding="utf-8"?>
<ds:datastoreItem xmlns:ds="http://schemas.openxmlformats.org/officeDocument/2006/customXml" ds:itemID="{A07F6148-45AE-4DB7-9C25-BA3EB223585B}"/>
</file>

<file path=customXml/itemProps3.xml><?xml version="1.0" encoding="utf-8"?>
<ds:datastoreItem xmlns:ds="http://schemas.openxmlformats.org/officeDocument/2006/customXml" ds:itemID="{ADEB44C9-728F-4055-A38A-BED3D583F2DC}"/>
</file>

<file path=customXml/itemProps4.xml><?xml version="1.0" encoding="utf-8"?>
<ds:datastoreItem xmlns:ds="http://schemas.openxmlformats.org/officeDocument/2006/customXml" ds:itemID="{A6CBBFE3-D75D-407C-B19E-3A5B8526C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 of the working group</vt:lpstr>
      <vt:lpstr>Name of the working group</vt:lpstr>
    </vt:vector>
  </TitlesOfParts>
  <Company>BMBF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working group</dc:title>
  <dc:creator>herdegena</dc:creator>
  <cp:lastModifiedBy>BFUG Secretariat</cp:lastModifiedBy>
  <cp:revision>26</cp:revision>
  <cp:lastPrinted>2012-06-29T12:29:00Z</cp:lastPrinted>
  <dcterms:created xsi:type="dcterms:W3CDTF">2012-07-11T13:00:00Z</dcterms:created>
  <dcterms:modified xsi:type="dcterms:W3CDTF">2012-08-24T11:37:00Z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0x010100C73F7CF842B0E24AA6C7C4E6F5B069E9</vt:lpwstr>
  </property>
</Properties>
</file>