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C881" w14:textId="6C5ABF85" w:rsidR="00AE1A4D" w:rsidRPr="00AE1A4D" w:rsidRDefault="00AE1A4D" w:rsidP="00AE1A4D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E1A4D">
        <w:rPr>
          <w:rFonts w:asciiTheme="majorHAnsi" w:hAnsiTheme="majorHAnsi" w:cstheme="majorHAnsi"/>
          <w:b/>
          <w:bCs/>
          <w:sz w:val="24"/>
          <w:szCs w:val="24"/>
        </w:rPr>
        <w:t xml:space="preserve">Moderator: </w:t>
      </w:r>
      <w:r w:rsidR="009F5D3A">
        <w:rPr>
          <w:rFonts w:asciiTheme="majorHAnsi" w:hAnsiTheme="majorHAnsi" w:cstheme="majorHAnsi"/>
          <w:sz w:val="24"/>
          <w:szCs w:val="24"/>
        </w:rPr>
        <w:t xml:space="preserve">Maria </w:t>
      </w:r>
      <w:proofErr w:type="spellStart"/>
      <w:r w:rsidR="009F5D3A">
        <w:rPr>
          <w:rFonts w:asciiTheme="majorHAnsi" w:hAnsiTheme="majorHAnsi" w:cstheme="majorHAnsi"/>
          <w:sz w:val="24"/>
          <w:szCs w:val="24"/>
        </w:rPr>
        <w:t>Kelo</w:t>
      </w:r>
      <w:proofErr w:type="spellEnd"/>
      <w:r w:rsidRPr="00AE1A4D">
        <w:rPr>
          <w:rFonts w:asciiTheme="majorHAnsi" w:hAnsiTheme="majorHAnsi" w:cstheme="majorHAnsi"/>
          <w:sz w:val="24"/>
          <w:szCs w:val="24"/>
        </w:rPr>
        <w:t xml:space="preserve">, </w:t>
      </w:r>
      <w:r w:rsidR="009F5D3A">
        <w:rPr>
          <w:rFonts w:asciiTheme="majorHAnsi" w:hAnsiTheme="majorHAnsi" w:cstheme="majorHAnsi"/>
          <w:sz w:val="24"/>
          <w:szCs w:val="24"/>
        </w:rPr>
        <w:t>Director for Institutional Development</w:t>
      </w:r>
      <w:r w:rsidRPr="00AE1A4D">
        <w:rPr>
          <w:rFonts w:asciiTheme="majorHAnsi" w:hAnsiTheme="majorHAnsi" w:cstheme="majorHAnsi"/>
          <w:sz w:val="24"/>
          <w:szCs w:val="24"/>
        </w:rPr>
        <w:t>, E</w:t>
      </w:r>
      <w:r w:rsidR="009F5D3A">
        <w:rPr>
          <w:rFonts w:asciiTheme="majorHAnsi" w:hAnsiTheme="majorHAnsi" w:cstheme="majorHAnsi"/>
          <w:sz w:val="24"/>
          <w:szCs w:val="24"/>
        </w:rPr>
        <w:t>UA</w:t>
      </w:r>
    </w:p>
    <w:p w14:paraId="5CAEE593" w14:textId="07DE3B2E" w:rsidR="00AE1A4D" w:rsidRPr="00AE1A4D" w:rsidRDefault="00AE1A4D" w:rsidP="00AE1A4D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E1A4D">
        <w:rPr>
          <w:rFonts w:asciiTheme="majorHAnsi" w:hAnsiTheme="majorHAnsi" w:cstheme="majorHAnsi"/>
          <w:b/>
          <w:bCs/>
          <w:sz w:val="24"/>
          <w:szCs w:val="24"/>
        </w:rPr>
        <w:t xml:space="preserve">Rapporteur: </w:t>
      </w:r>
      <w:r w:rsidR="009F5D3A">
        <w:rPr>
          <w:rFonts w:asciiTheme="majorHAnsi" w:hAnsiTheme="majorHAnsi" w:cstheme="majorHAnsi"/>
          <w:iCs/>
          <w:sz w:val="24"/>
          <w:szCs w:val="24"/>
          <w:lang w:val="ro-RO"/>
        </w:rPr>
        <w:t>Marilena Maniaci, Italy</w:t>
      </w:r>
    </w:p>
    <w:p w14:paraId="2861423D" w14:textId="77777777" w:rsidR="00AE1A4D" w:rsidRPr="00AE1A4D" w:rsidRDefault="00AE1A4D" w:rsidP="00AE1A4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FCA35C4" w14:textId="77777777" w:rsidR="00F3439F" w:rsidRDefault="00F3439F" w:rsidP="00AE1A4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4D68">
        <w:rPr>
          <w:rFonts w:asciiTheme="majorHAnsi" w:hAnsiTheme="majorHAnsi" w:cstheme="majorHAnsi"/>
          <w:b/>
          <w:bCs/>
          <w:i/>
          <w:iCs/>
          <w:sz w:val="24"/>
          <w:szCs w:val="24"/>
        </w:rPr>
        <w:t>The role in society of higher education and implications for (internal and external) quality assurance</w:t>
      </w:r>
      <w:r w:rsidRPr="00AE1A4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03DB43" w14:textId="294778DA" w:rsidR="00AE1A4D" w:rsidRPr="00AE1A4D" w:rsidRDefault="00AE1A4D" w:rsidP="00AE1A4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E1A4D">
        <w:rPr>
          <w:rFonts w:asciiTheme="majorHAnsi" w:hAnsiTheme="majorHAnsi" w:cstheme="majorHAnsi"/>
          <w:sz w:val="24"/>
          <w:szCs w:val="24"/>
        </w:rPr>
        <w:t xml:space="preserve">Parallel Session (Room </w:t>
      </w:r>
      <w:r w:rsidR="00F3439F" w:rsidRPr="00EF6E16">
        <w:rPr>
          <w:rFonts w:asciiTheme="majorHAnsi" w:hAnsiTheme="majorHAnsi" w:cstheme="majorHAnsi"/>
          <w:sz w:val="24"/>
          <w:szCs w:val="24"/>
        </w:rPr>
        <w:t>C1.2.359</w:t>
      </w:r>
      <w:r w:rsidRPr="00AE1A4D">
        <w:rPr>
          <w:rFonts w:asciiTheme="majorHAnsi" w:hAnsiTheme="majorHAnsi" w:cstheme="majorHAnsi"/>
          <w:sz w:val="24"/>
          <w:szCs w:val="24"/>
        </w:rPr>
        <w:t>, 2nd floor)</w:t>
      </w:r>
    </w:p>
    <w:p w14:paraId="3F8198F8" w14:textId="50374561" w:rsidR="0049183A" w:rsidRPr="00AE1A4D" w:rsidRDefault="0049183A" w:rsidP="00AE1A4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E1A4D">
        <w:rPr>
          <w:rFonts w:asciiTheme="majorHAnsi" w:hAnsiTheme="majorHAnsi" w:cstheme="majorHAnsi"/>
          <w:sz w:val="24"/>
          <w:szCs w:val="24"/>
        </w:rPr>
        <w:t>TPG C on QA meeting, 1</w:t>
      </w:r>
      <w:r w:rsidRPr="00AE1A4D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AE1A4D">
        <w:rPr>
          <w:rFonts w:asciiTheme="majorHAnsi" w:hAnsiTheme="majorHAnsi" w:cstheme="majorHAnsi"/>
          <w:sz w:val="24"/>
          <w:szCs w:val="24"/>
        </w:rPr>
        <w:t xml:space="preserve"> of June 2023, Astana</w:t>
      </w:r>
    </w:p>
    <w:p w14:paraId="75F852D9" w14:textId="77777777" w:rsidR="003729CE" w:rsidRPr="00B37B65" w:rsidRDefault="003729CE" w:rsidP="003729C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31F781" w14:textId="7DDF991F" w:rsidR="003729CE" w:rsidRPr="00B37B65" w:rsidRDefault="003729CE" w:rsidP="003729C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7B65">
        <w:rPr>
          <w:rFonts w:asciiTheme="majorHAnsi" w:hAnsiTheme="majorHAnsi" w:cstheme="majorHAnsi"/>
          <w:sz w:val="24"/>
          <w:szCs w:val="24"/>
        </w:rPr>
        <w:t xml:space="preserve">Learning and teaching, innovation and research are the traditional roles of higher education institutions. </w:t>
      </w:r>
    </w:p>
    <w:p w14:paraId="74C8AC8A" w14:textId="4B00B4D7" w:rsidR="003729CE" w:rsidRPr="00B37B65" w:rsidRDefault="00BB0584" w:rsidP="003729C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B37B65">
        <w:rPr>
          <w:rFonts w:asciiTheme="majorHAnsi" w:hAnsiTheme="majorHAnsi" w:cstheme="majorHAnsi"/>
          <w:sz w:val="24"/>
          <w:szCs w:val="24"/>
        </w:rPr>
        <w:t xml:space="preserve">In 2020, the ministers of higher education </w:t>
      </w:r>
      <w:r w:rsidR="00F3439F" w:rsidRPr="00B37B65">
        <w:rPr>
          <w:rFonts w:asciiTheme="majorHAnsi" w:hAnsiTheme="majorHAnsi" w:cstheme="majorHAnsi"/>
          <w:sz w:val="24"/>
          <w:szCs w:val="24"/>
        </w:rPr>
        <w:t xml:space="preserve">from the countries members to the European Higher Education Area </w:t>
      </w:r>
      <w:r w:rsidR="003D0973">
        <w:rPr>
          <w:rFonts w:asciiTheme="majorHAnsi" w:hAnsiTheme="majorHAnsi" w:cstheme="majorHAnsi"/>
          <w:sz w:val="24"/>
          <w:szCs w:val="24"/>
        </w:rPr>
        <w:t>committed</w:t>
      </w:r>
      <w:r w:rsidR="00F3439F" w:rsidRPr="00B37B6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3439F" w:rsidRPr="00B37B65">
        <w:rPr>
          <w:rFonts w:asciiTheme="majorHAnsi" w:hAnsiTheme="majorHAnsi" w:cstheme="majorHAnsi"/>
          <w:sz w:val="24"/>
          <w:szCs w:val="24"/>
        </w:rPr>
        <w:t xml:space="preserve">to </w:t>
      </w:r>
      <w:r w:rsidR="00F3439F" w:rsidRPr="00B37B65">
        <w:rPr>
          <w:rFonts w:asciiTheme="majorHAnsi" w:hAnsiTheme="majorHAnsi" w:cstheme="majorHAnsi"/>
          <w:sz w:val="24"/>
          <w:szCs w:val="24"/>
          <w:lang w:val="ro-RO"/>
        </w:rPr>
        <w:t>”</w:t>
      </w:r>
      <w:r w:rsidR="003D0973">
        <w:rPr>
          <w:rFonts w:asciiTheme="majorHAnsi" w:hAnsiTheme="majorHAnsi" w:cstheme="majorHAnsi"/>
          <w:sz w:val="24"/>
          <w:szCs w:val="24"/>
          <w:lang w:val="ro-RO"/>
        </w:rPr>
        <w:t>enable</w:t>
      </w:r>
      <w:proofErr w:type="gramEnd"/>
      <w:r w:rsidR="003D0973">
        <w:rPr>
          <w:rFonts w:asciiTheme="majorHAnsi" w:hAnsiTheme="majorHAnsi" w:cstheme="majorHAnsi"/>
          <w:sz w:val="24"/>
          <w:szCs w:val="24"/>
          <w:lang w:val="ro-RO"/>
        </w:rPr>
        <w:t xml:space="preserve"> our higher institutions to engage with our societies to address the multiple threats to global peace, democratic values, freedom of information, health and wellbeing</w:t>
      </w:r>
      <w:r w:rsidR="00F3439F" w:rsidRPr="00B37B65">
        <w:rPr>
          <w:rFonts w:asciiTheme="majorHAnsi" w:hAnsiTheme="majorHAnsi" w:cstheme="majorHAnsi"/>
          <w:sz w:val="24"/>
          <w:szCs w:val="24"/>
          <w:lang w:val="ro-RO"/>
        </w:rPr>
        <w:t>”</w:t>
      </w:r>
      <w:r w:rsidR="00F3439F" w:rsidRPr="00B37B65">
        <w:rPr>
          <w:rFonts w:asciiTheme="majorHAnsi" w:hAnsiTheme="majorHAnsi" w:cstheme="majorHAnsi"/>
          <w:sz w:val="24"/>
          <w:szCs w:val="24"/>
          <w:lang w:val="ro-RO"/>
        </w:rPr>
        <w:t xml:space="preserve">. </w:t>
      </w:r>
      <w:r w:rsidR="003729CE" w:rsidRPr="00B37B65">
        <w:rPr>
          <w:rFonts w:asciiTheme="majorHAnsi" w:hAnsiTheme="majorHAnsi" w:cstheme="majorHAnsi"/>
          <w:sz w:val="24"/>
          <w:szCs w:val="24"/>
          <w:lang w:val="ro-RO"/>
        </w:rPr>
        <w:t>The potential of higher education institutions to drive change and</w:t>
      </w:r>
      <w:r w:rsidR="003D0973">
        <w:rPr>
          <w:rFonts w:asciiTheme="majorHAnsi" w:hAnsiTheme="majorHAnsi" w:cstheme="majorHAnsi"/>
          <w:sz w:val="24"/>
          <w:szCs w:val="24"/>
          <w:lang w:val="ro-RO"/>
        </w:rPr>
        <w:t xml:space="preserve"> contribute to the achievement of the SDGs, by improving the knowledge, skills, and competences of students and society is recognised. </w:t>
      </w:r>
    </w:p>
    <w:p w14:paraId="0C6E6AF6" w14:textId="560E5D72" w:rsidR="00BB0584" w:rsidRPr="00B37B65" w:rsidRDefault="003729CE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7B65">
        <w:rPr>
          <w:rFonts w:asciiTheme="majorHAnsi" w:hAnsiTheme="majorHAnsi" w:cstheme="majorHAnsi"/>
          <w:sz w:val="24"/>
          <w:szCs w:val="24"/>
        </w:rPr>
        <w:t>T</w:t>
      </w:r>
      <w:r w:rsidR="00BB0584" w:rsidRPr="00B37B65">
        <w:rPr>
          <w:rFonts w:asciiTheme="majorHAnsi" w:hAnsiTheme="majorHAnsi" w:cstheme="majorHAnsi"/>
          <w:sz w:val="24"/>
          <w:szCs w:val="24"/>
        </w:rPr>
        <w:t>he</w:t>
      </w:r>
      <w:r w:rsidR="00325D19" w:rsidRPr="00B37B65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325D19" w:rsidRPr="00B37B65">
          <w:rPr>
            <w:rStyle w:val="Hyperlink"/>
            <w:rFonts w:asciiTheme="majorHAnsi" w:hAnsiTheme="majorHAnsi" w:cstheme="majorHAnsi"/>
            <w:sz w:val="24"/>
            <w:szCs w:val="24"/>
          </w:rPr>
          <w:t>“Principles and Guideline</w:t>
        </w:r>
        <w:r w:rsidR="00325D19" w:rsidRPr="00B37B65">
          <w:rPr>
            <w:rStyle w:val="Hyperlink"/>
            <w:rFonts w:asciiTheme="majorHAnsi" w:hAnsiTheme="majorHAnsi" w:cstheme="majorHAnsi"/>
            <w:sz w:val="24"/>
            <w:szCs w:val="24"/>
          </w:rPr>
          <w:t>s</w:t>
        </w:r>
        <w:r w:rsidR="00325D19" w:rsidRPr="00B37B65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to Strengthen the Social Dimension of Higher Education in the European Higher Education Area”</w:t>
        </w:r>
      </w:hyperlink>
      <w:r w:rsidR="00BB0584" w:rsidRPr="00B37B65">
        <w:rPr>
          <w:rFonts w:asciiTheme="majorHAnsi" w:hAnsiTheme="majorHAnsi" w:cstheme="majorHAnsi"/>
          <w:sz w:val="24"/>
          <w:szCs w:val="24"/>
        </w:rPr>
        <w:t xml:space="preserve"> </w:t>
      </w:r>
      <w:r w:rsidRPr="00B37B65">
        <w:rPr>
          <w:rFonts w:asciiTheme="majorHAnsi" w:hAnsiTheme="majorHAnsi" w:cstheme="majorHAnsi"/>
          <w:sz w:val="24"/>
          <w:szCs w:val="24"/>
        </w:rPr>
        <w:t xml:space="preserve">, which were adopted </w:t>
      </w:r>
      <w:r w:rsidR="00BB0584" w:rsidRPr="00B37B65">
        <w:rPr>
          <w:rFonts w:asciiTheme="majorHAnsi" w:hAnsiTheme="majorHAnsi" w:cstheme="majorHAnsi"/>
          <w:sz w:val="24"/>
          <w:szCs w:val="24"/>
        </w:rPr>
        <w:t>as</w:t>
      </w:r>
      <w:r w:rsidR="00325D19" w:rsidRPr="00B37B65">
        <w:rPr>
          <w:rFonts w:asciiTheme="majorHAnsi" w:hAnsiTheme="majorHAnsi" w:cstheme="majorHAnsi"/>
          <w:sz w:val="24"/>
          <w:szCs w:val="24"/>
        </w:rPr>
        <w:t xml:space="preserve"> an </w:t>
      </w:r>
      <w:r w:rsidR="003D0973">
        <w:rPr>
          <w:rFonts w:asciiTheme="majorHAnsi" w:hAnsiTheme="majorHAnsi" w:cstheme="majorHAnsi"/>
          <w:sz w:val="24"/>
          <w:szCs w:val="24"/>
        </w:rPr>
        <w:t>annex</w:t>
      </w:r>
      <w:r w:rsidR="00325D19" w:rsidRPr="00B37B65">
        <w:rPr>
          <w:rFonts w:asciiTheme="majorHAnsi" w:hAnsiTheme="majorHAnsi" w:cstheme="majorHAnsi"/>
          <w:sz w:val="24"/>
          <w:szCs w:val="24"/>
        </w:rPr>
        <w:t xml:space="preserve"> to the Rome Communique</w:t>
      </w:r>
      <w:r w:rsidRPr="00B37B65">
        <w:rPr>
          <w:rFonts w:asciiTheme="majorHAnsi" w:hAnsiTheme="majorHAnsi" w:cstheme="majorHAnsi"/>
          <w:sz w:val="24"/>
          <w:szCs w:val="24"/>
        </w:rPr>
        <w:t xml:space="preserve">, are </w:t>
      </w:r>
      <w:r w:rsidR="00BB0584" w:rsidRPr="00B37B65">
        <w:rPr>
          <w:rFonts w:asciiTheme="majorHAnsi" w:hAnsiTheme="majorHAnsi" w:cstheme="majorHAnsi"/>
          <w:sz w:val="24"/>
          <w:szCs w:val="24"/>
        </w:rPr>
        <w:t>stat</w:t>
      </w:r>
      <w:r w:rsidRPr="00B37B65">
        <w:rPr>
          <w:rFonts w:asciiTheme="majorHAnsi" w:hAnsiTheme="majorHAnsi" w:cstheme="majorHAnsi"/>
          <w:sz w:val="24"/>
          <w:szCs w:val="24"/>
        </w:rPr>
        <w:t>ing</w:t>
      </w:r>
      <w:r w:rsidR="00AE1A4D" w:rsidRPr="00B37B65">
        <w:rPr>
          <w:rFonts w:asciiTheme="majorHAnsi" w:hAnsiTheme="majorHAnsi" w:cstheme="majorHAnsi"/>
          <w:sz w:val="24"/>
          <w:szCs w:val="24"/>
        </w:rPr>
        <w:t>,</w:t>
      </w:r>
      <w:r w:rsidR="00BB0584" w:rsidRPr="00B37B65">
        <w:rPr>
          <w:rFonts w:asciiTheme="majorHAnsi" w:hAnsiTheme="majorHAnsi" w:cstheme="majorHAnsi"/>
          <w:sz w:val="24"/>
          <w:szCs w:val="24"/>
        </w:rPr>
        <w:t xml:space="preserve"> </w:t>
      </w:r>
      <w:r w:rsidRPr="00B37B65">
        <w:rPr>
          <w:rFonts w:asciiTheme="majorHAnsi" w:hAnsiTheme="majorHAnsi" w:cstheme="majorHAnsi"/>
          <w:sz w:val="24"/>
          <w:szCs w:val="24"/>
        </w:rPr>
        <w:t>”</w:t>
      </w:r>
      <w:r w:rsidRPr="00B37B65">
        <w:rPr>
          <w:rFonts w:asciiTheme="majorHAnsi" w:hAnsiTheme="majorHAnsi" w:cstheme="majorHAnsi"/>
          <w:i/>
          <w:sz w:val="24"/>
          <w:szCs w:val="24"/>
        </w:rPr>
        <w:t>Community engagement should be considered as a process whereby higher education institutions engage</w:t>
      </w:r>
      <w:r w:rsidRPr="00B37B6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B37B65">
        <w:rPr>
          <w:rFonts w:asciiTheme="majorHAnsi" w:hAnsiTheme="majorHAnsi" w:cstheme="majorHAnsi"/>
          <w:i/>
          <w:sz w:val="24"/>
          <w:szCs w:val="24"/>
        </w:rPr>
        <w:t>with external community stakeholders to undertake joint activities that can be mutually beneficial. Like social</w:t>
      </w:r>
      <w:r w:rsidRPr="00B37B6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B37B65">
        <w:rPr>
          <w:rFonts w:asciiTheme="majorHAnsi" w:hAnsiTheme="majorHAnsi" w:cstheme="majorHAnsi"/>
          <w:i/>
          <w:sz w:val="24"/>
          <w:szCs w:val="24"/>
        </w:rPr>
        <w:t>dimension policies, community engagement should be embedded in core missions of higher education</w:t>
      </w:r>
      <w:r w:rsidRPr="00B37B65">
        <w:rPr>
          <w:rFonts w:asciiTheme="majorHAnsi" w:hAnsiTheme="majorHAnsi" w:cstheme="majorHAnsi"/>
          <w:sz w:val="24"/>
          <w:szCs w:val="24"/>
        </w:rPr>
        <w:t>.”</w:t>
      </w:r>
    </w:p>
    <w:p w14:paraId="6D1525FD" w14:textId="77BC3161" w:rsidR="00B37B65" w:rsidRPr="00B37B65" w:rsidRDefault="00B37B65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B37B65">
        <w:rPr>
          <w:rFonts w:asciiTheme="majorHAnsi" w:hAnsiTheme="majorHAnsi" w:cstheme="majorHAnsi"/>
          <w:sz w:val="24"/>
          <w:szCs w:val="24"/>
        </w:rPr>
        <w:t>EUA</w:t>
      </w:r>
      <w:r w:rsidRPr="00B37B65">
        <w:rPr>
          <w:rFonts w:asciiTheme="majorHAnsi" w:hAnsiTheme="majorHAnsi" w:cstheme="majorHAnsi"/>
          <w:sz w:val="24"/>
          <w:szCs w:val="24"/>
          <w:lang w:val="en-US"/>
        </w:rPr>
        <w:t xml:space="preserve">’s vision for </w:t>
      </w:r>
      <w:r w:rsidRPr="00B37B65">
        <w:rPr>
          <w:rStyle w:val="markedcontent"/>
          <w:rFonts w:asciiTheme="majorHAnsi" w:hAnsiTheme="majorHAnsi" w:cstheme="majorHAnsi"/>
          <w:sz w:val="24"/>
          <w:szCs w:val="24"/>
        </w:rPr>
        <w:t>Universities in 2030</w:t>
      </w:r>
      <w:proofErr w:type="gramStart"/>
      <w:r w:rsidRPr="00B37B65">
        <w:rPr>
          <w:rStyle w:val="markedcontent"/>
          <w:rFonts w:asciiTheme="majorHAnsi" w:hAnsiTheme="majorHAnsi" w:cstheme="majorHAnsi"/>
          <w:sz w:val="24"/>
          <w:szCs w:val="24"/>
        </w:rPr>
        <w:t xml:space="preserve">, </w:t>
      </w:r>
      <w:r w:rsidRPr="00B37B65">
        <w:rPr>
          <w:rStyle w:val="markedcontent"/>
          <w:rFonts w:asciiTheme="majorHAnsi" w:hAnsiTheme="majorHAnsi" w:cstheme="majorHAnsi"/>
          <w:sz w:val="24"/>
          <w:szCs w:val="24"/>
          <w:lang w:val="ro-RO"/>
        </w:rPr>
        <w:t>”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>envision</w:t>
      </w:r>
      <w:proofErr w:type="gramEnd"/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 xml:space="preserve"> universities without walls; these are universities that are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 xml:space="preserve"> 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>open and engaged in society while retaining their core values. All of Europe’s universities will be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 xml:space="preserve"> 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>responsible, autonomous and free, with different institutional profiles, but united in their missions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 xml:space="preserve"> </w:t>
      </w:r>
      <w:r w:rsidRPr="00B37B65">
        <w:rPr>
          <w:rStyle w:val="markedcontent"/>
          <w:rFonts w:asciiTheme="majorHAnsi" w:hAnsiTheme="majorHAnsi" w:cstheme="majorHAnsi"/>
          <w:i/>
          <w:sz w:val="24"/>
          <w:szCs w:val="24"/>
        </w:rPr>
        <w:t>of learning and teaching, research, innovation and culture in service to society</w:t>
      </w:r>
      <w:r w:rsidRPr="00B37B65">
        <w:rPr>
          <w:rStyle w:val="markedcontent"/>
          <w:rFonts w:asciiTheme="majorHAnsi" w:hAnsiTheme="majorHAnsi" w:cstheme="majorHAnsi"/>
          <w:sz w:val="24"/>
          <w:szCs w:val="24"/>
        </w:rPr>
        <w:t>.</w:t>
      </w:r>
      <w:r w:rsidRPr="00B37B65">
        <w:rPr>
          <w:rStyle w:val="markedcontent"/>
          <w:rFonts w:asciiTheme="majorHAnsi" w:hAnsiTheme="majorHAnsi" w:cstheme="majorHAnsi"/>
          <w:sz w:val="24"/>
          <w:szCs w:val="24"/>
          <w:lang w:val="ro-RO"/>
        </w:rPr>
        <w:t>”</w:t>
      </w:r>
    </w:p>
    <w:p w14:paraId="7210B4EB" w14:textId="77777777" w:rsidR="00C612E6" w:rsidRDefault="00B37B65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he </w:t>
      </w:r>
      <w:hyperlink r:id="rId8" w:history="1">
        <w:r w:rsidR="00BB0584" w:rsidRPr="00AE1A4D">
          <w:rPr>
            <w:rStyle w:val="Hyperlink"/>
            <w:rFonts w:asciiTheme="majorHAnsi" w:hAnsiTheme="majorHAnsi" w:cstheme="majorHAnsi"/>
            <w:sz w:val="24"/>
            <w:szCs w:val="24"/>
          </w:rPr>
          <w:t>QA FIT</w:t>
        </w:r>
      </w:hyperlink>
      <w:r w:rsidR="00BB0584" w:rsidRPr="00AE1A4D">
        <w:rPr>
          <w:rFonts w:asciiTheme="majorHAnsi" w:hAnsiTheme="majorHAnsi" w:cstheme="majorHAnsi"/>
          <w:sz w:val="24"/>
          <w:szCs w:val="24"/>
        </w:rPr>
        <w:t xml:space="preserve"> project, coordinated by ENQA, </w:t>
      </w:r>
      <w:r w:rsidR="00AE1A4D" w:rsidRPr="00AE1A4D">
        <w:rPr>
          <w:rFonts w:asciiTheme="majorHAnsi" w:hAnsiTheme="majorHAnsi" w:cstheme="majorHAnsi"/>
          <w:sz w:val="24"/>
          <w:szCs w:val="24"/>
        </w:rPr>
        <w:t>aims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 to map the state of play regarding the </w:t>
      </w:r>
      <w:r w:rsidR="00AE1A4D" w:rsidRPr="00AE1A4D">
        <w:rPr>
          <w:rFonts w:asciiTheme="majorHAnsi" w:hAnsiTheme="majorHAnsi" w:cstheme="majorHAnsi"/>
          <w:sz w:val="24"/>
          <w:szCs w:val="24"/>
        </w:rPr>
        <w:t>E</w:t>
      </w:r>
      <w:r w:rsidR="00BB0584" w:rsidRPr="00AE1A4D">
        <w:rPr>
          <w:rFonts w:asciiTheme="majorHAnsi" w:hAnsiTheme="majorHAnsi" w:cstheme="majorHAnsi"/>
          <w:sz w:val="24"/>
          <w:szCs w:val="24"/>
        </w:rPr>
        <w:t>uropean</w:t>
      </w:r>
      <w:r w:rsidR="00AE1A4D" w:rsidRPr="00AE1A4D">
        <w:rPr>
          <w:rFonts w:asciiTheme="majorHAnsi" w:hAnsiTheme="majorHAnsi" w:cstheme="majorHAnsi"/>
          <w:sz w:val="24"/>
          <w:szCs w:val="24"/>
        </w:rPr>
        <w:t xml:space="preserve"> Higher Education Area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 </w:t>
      </w:r>
      <w:r w:rsidR="00AE1A4D" w:rsidRPr="00AE1A4D">
        <w:rPr>
          <w:rFonts w:asciiTheme="majorHAnsi" w:hAnsiTheme="majorHAnsi" w:cstheme="majorHAnsi"/>
          <w:sz w:val="24"/>
          <w:szCs w:val="24"/>
        </w:rPr>
        <w:t>q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uality </w:t>
      </w:r>
      <w:r w:rsidR="00AE1A4D" w:rsidRPr="00AE1A4D">
        <w:rPr>
          <w:rFonts w:asciiTheme="majorHAnsi" w:hAnsiTheme="majorHAnsi" w:cstheme="majorHAnsi"/>
          <w:sz w:val="24"/>
          <w:szCs w:val="24"/>
        </w:rPr>
        <w:t>a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ssurance framework, the implementation of the </w:t>
      </w:r>
      <w:hyperlink r:id="rId9" w:history="1">
        <w:r w:rsidR="00BB0584" w:rsidRPr="00AE1A4D">
          <w:rPr>
            <w:rStyle w:val="Hyperlink"/>
            <w:rFonts w:asciiTheme="majorHAnsi" w:hAnsiTheme="majorHAnsi" w:cstheme="majorHAnsi"/>
            <w:sz w:val="24"/>
            <w:szCs w:val="24"/>
          </w:rPr>
          <w:t>European Standards and Guidelines on Quality Assurance</w:t>
        </w:r>
      </w:hyperlink>
      <w:r w:rsidR="00BB0584" w:rsidRPr="00AE1A4D">
        <w:rPr>
          <w:rFonts w:asciiTheme="majorHAnsi" w:hAnsiTheme="majorHAnsi" w:cstheme="majorHAnsi"/>
          <w:sz w:val="24"/>
          <w:szCs w:val="24"/>
        </w:rPr>
        <w:t xml:space="preserve"> and new trends in QA, as well as to initiate the discussions regarding the future of ESGs. The QA FIT project included sending surveys towards QA agencies, </w:t>
      </w:r>
      <w:r w:rsidR="00AE1A4D" w:rsidRPr="00AE1A4D">
        <w:rPr>
          <w:rFonts w:asciiTheme="majorHAnsi" w:hAnsiTheme="majorHAnsi" w:cstheme="majorHAnsi"/>
          <w:sz w:val="24"/>
          <w:szCs w:val="24"/>
        </w:rPr>
        <w:t>h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igher education institutions, ministries and </w:t>
      </w:r>
      <w:r w:rsidR="00AE1A4D" w:rsidRPr="00AE1A4D">
        <w:rPr>
          <w:rFonts w:asciiTheme="majorHAnsi" w:hAnsiTheme="majorHAnsi" w:cstheme="majorHAnsi"/>
          <w:sz w:val="24"/>
          <w:szCs w:val="24"/>
        </w:rPr>
        <w:t>n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ational </w:t>
      </w:r>
      <w:r w:rsidR="00AE1A4D" w:rsidRPr="00AE1A4D">
        <w:rPr>
          <w:rFonts w:asciiTheme="majorHAnsi" w:hAnsiTheme="majorHAnsi" w:cstheme="majorHAnsi"/>
          <w:sz w:val="24"/>
          <w:szCs w:val="24"/>
        </w:rPr>
        <w:t>u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nions of </w:t>
      </w:r>
      <w:r w:rsidR="00AE1A4D" w:rsidRPr="00AE1A4D">
        <w:rPr>
          <w:rFonts w:asciiTheme="majorHAnsi" w:hAnsiTheme="majorHAnsi" w:cstheme="majorHAnsi"/>
          <w:sz w:val="24"/>
          <w:szCs w:val="24"/>
        </w:rPr>
        <w:t>s</w:t>
      </w:r>
      <w:r w:rsidR="00BB0584" w:rsidRPr="00AE1A4D">
        <w:rPr>
          <w:rFonts w:asciiTheme="majorHAnsi" w:hAnsiTheme="majorHAnsi" w:cstheme="majorHAnsi"/>
          <w:sz w:val="24"/>
          <w:szCs w:val="24"/>
        </w:rPr>
        <w:t xml:space="preserve">tudents to find out current realities and perceptions on the revision of the ESGs. </w:t>
      </w:r>
    </w:p>
    <w:p w14:paraId="50945C6B" w14:textId="0DFB3089" w:rsidR="00B37B65" w:rsidRDefault="00B37B65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Even though the ESGs are mostly covering learning and teaching, the survey results showed that 82% of the quality assurance </w:t>
      </w:r>
      <w:r w:rsidR="003D0973">
        <w:rPr>
          <w:rFonts w:asciiTheme="majorHAnsi" w:hAnsiTheme="majorHAnsi" w:cstheme="majorHAnsi"/>
          <w:sz w:val="24"/>
          <w:szCs w:val="24"/>
        </w:rPr>
        <w:t>agencies</w:t>
      </w:r>
      <w:r>
        <w:rPr>
          <w:rFonts w:asciiTheme="majorHAnsi" w:hAnsiTheme="majorHAnsi" w:cstheme="majorHAnsi"/>
          <w:sz w:val="24"/>
          <w:szCs w:val="24"/>
        </w:rPr>
        <w:t xml:space="preserve"> are also covering the service to society / the third mission of higher education institutions. </w:t>
      </w:r>
      <w:r w:rsidR="00C612E6">
        <w:rPr>
          <w:rFonts w:asciiTheme="majorHAnsi" w:hAnsiTheme="majorHAnsi" w:cstheme="majorHAnsi"/>
          <w:sz w:val="24"/>
          <w:szCs w:val="24"/>
        </w:rPr>
        <w:t>E</w:t>
      </w:r>
      <w:r w:rsidR="003D0973">
        <w:rPr>
          <w:rFonts w:asciiTheme="majorHAnsi" w:hAnsiTheme="majorHAnsi" w:cstheme="majorHAnsi"/>
          <w:sz w:val="24"/>
          <w:szCs w:val="24"/>
        </w:rPr>
        <w:t>ngagement with industry, engagement with the society, activities related to technology transfer and innovation and continuing education</w:t>
      </w:r>
      <w:r w:rsidR="00C612E6">
        <w:rPr>
          <w:rFonts w:asciiTheme="majorHAnsi" w:hAnsiTheme="majorHAnsi" w:cstheme="majorHAnsi"/>
          <w:sz w:val="24"/>
          <w:szCs w:val="24"/>
        </w:rPr>
        <w:t xml:space="preserve"> are the main topics considered</w:t>
      </w:r>
      <w:r w:rsidR="003D0973">
        <w:rPr>
          <w:rFonts w:asciiTheme="majorHAnsi" w:hAnsiTheme="majorHAnsi" w:cstheme="majorHAnsi"/>
          <w:sz w:val="24"/>
          <w:szCs w:val="24"/>
        </w:rPr>
        <w:t xml:space="preserve">. More than 60% of the respondents, </w:t>
      </w:r>
      <w:r w:rsidR="00C612E6">
        <w:rPr>
          <w:rFonts w:asciiTheme="majorHAnsi" w:hAnsiTheme="majorHAnsi" w:cstheme="majorHAnsi"/>
          <w:sz w:val="24"/>
          <w:szCs w:val="24"/>
        </w:rPr>
        <w:t xml:space="preserve">from all categories of stakeholders, believe to a large extent or to some extent that the third role should be included in an eventual revised version of the ESGs. </w:t>
      </w:r>
    </w:p>
    <w:p w14:paraId="2E0AB442" w14:textId="77777777" w:rsidR="00B37B65" w:rsidRDefault="00B37B65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2BC042C" w14:textId="36CB94AC" w:rsidR="00BB0584" w:rsidRPr="00AE1A4D" w:rsidRDefault="00BB0584" w:rsidP="00AE1A4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56EC3C" w14:textId="77777777" w:rsidR="0049183A" w:rsidRPr="00AE1A4D" w:rsidRDefault="00BB0584" w:rsidP="00AE1A4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E1A4D">
        <w:rPr>
          <w:rFonts w:asciiTheme="majorHAnsi" w:hAnsiTheme="majorHAnsi" w:cstheme="majorHAnsi"/>
          <w:sz w:val="24"/>
          <w:szCs w:val="24"/>
        </w:rPr>
        <w:t>The objective of today’s discussion is to</w:t>
      </w:r>
      <w:r w:rsidR="0049183A" w:rsidRPr="00AE1A4D">
        <w:rPr>
          <w:rFonts w:asciiTheme="majorHAnsi" w:hAnsiTheme="majorHAnsi" w:cstheme="majorHAnsi"/>
          <w:sz w:val="24"/>
          <w:szCs w:val="24"/>
        </w:rPr>
        <w:t>:</w:t>
      </w:r>
    </w:p>
    <w:p w14:paraId="3440D36C" w14:textId="362A8E77" w:rsidR="0049183A" w:rsidRPr="00CB0C93" w:rsidRDefault="00BB0584" w:rsidP="00AE1A4D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CB0C93">
        <w:rPr>
          <w:rFonts w:asciiTheme="majorHAnsi" w:hAnsiTheme="majorHAnsi" w:cstheme="majorHAnsi"/>
          <w:b/>
          <w:bCs/>
          <w:sz w:val="24"/>
          <w:szCs w:val="24"/>
        </w:rPr>
        <w:t xml:space="preserve">reflect </w:t>
      </w:r>
      <w:r w:rsidRPr="00CB0C93">
        <w:rPr>
          <w:rFonts w:asciiTheme="majorHAnsi" w:hAnsiTheme="majorHAnsi" w:cstheme="majorHAnsi"/>
          <w:sz w:val="24"/>
          <w:szCs w:val="24"/>
        </w:rPr>
        <w:t>upon the state of play and results from the QA FIT survey</w:t>
      </w:r>
      <w:r w:rsidR="0049183A" w:rsidRPr="00CB0C93">
        <w:rPr>
          <w:rFonts w:asciiTheme="majorHAnsi" w:hAnsiTheme="majorHAnsi" w:cstheme="majorHAnsi"/>
          <w:sz w:val="24"/>
          <w:szCs w:val="24"/>
        </w:rPr>
        <w:t xml:space="preserve"> on how </w:t>
      </w:r>
      <w:r w:rsidR="00C612E6">
        <w:rPr>
          <w:rFonts w:asciiTheme="majorHAnsi" w:hAnsiTheme="majorHAnsi" w:cstheme="majorHAnsi"/>
          <w:sz w:val="24"/>
          <w:szCs w:val="24"/>
        </w:rPr>
        <w:t xml:space="preserve">the third role of higher education is </w:t>
      </w:r>
      <w:proofErr w:type="spellStart"/>
      <w:r w:rsidR="00C612E6">
        <w:rPr>
          <w:rFonts w:asciiTheme="majorHAnsi" w:hAnsiTheme="majorHAnsi" w:cstheme="majorHAnsi"/>
          <w:sz w:val="24"/>
          <w:szCs w:val="24"/>
        </w:rPr>
        <w:t>embeded</w:t>
      </w:r>
      <w:proofErr w:type="spellEnd"/>
      <w:r w:rsidR="00C612E6">
        <w:rPr>
          <w:rFonts w:asciiTheme="majorHAnsi" w:hAnsiTheme="majorHAnsi" w:cstheme="majorHAnsi"/>
          <w:sz w:val="24"/>
          <w:szCs w:val="24"/>
        </w:rPr>
        <w:t xml:space="preserve"> in </w:t>
      </w:r>
      <w:r w:rsidR="0049183A" w:rsidRPr="00CB0C93">
        <w:rPr>
          <w:rFonts w:asciiTheme="majorHAnsi" w:hAnsiTheme="majorHAnsi" w:cstheme="majorHAnsi"/>
          <w:sz w:val="24"/>
          <w:szCs w:val="24"/>
        </w:rPr>
        <w:t xml:space="preserve">quality assurance </w:t>
      </w:r>
      <w:r w:rsidR="00C612E6">
        <w:rPr>
          <w:rFonts w:asciiTheme="majorHAnsi" w:hAnsiTheme="majorHAnsi" w:cstheme="majorHAnsi"/>
          <w:sz w:val="24"/>
          <w:szCs w:val="24"/>
        </w:rPr>
        <w:t>processes</w:t>
      </w:r>
      <w:r w:rsidR="0049183A" w:rsidRPr="00CB0C93">
        <w:rPr>
          <w:rFonts w:asciiTheme="majorHAnsi" w:hAnsiTheme="majorHAnsi" w:cstheme="majorHAnsi"/>
          <w:sz w:val="24"/>
          <w:szCs w:val="24"/>
        </w:rPr>
        <w:t>;</w:t>
      </w:r>
    </w:p>
    <w:p w14:paraId="2682C5F8" w14:textId="1CFB905E" w:rsidR="00AE1A4D" w:rsidRPr="00CB0C93" w:rsidRDefault="00AE1A4D" w:rsidP="00AE1A4D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CB0C93">
        <w:rPr>
          <w:rFonts w:asciiTheme="majorHAnsi" w:hAnsiTheme="majorHAnsi" w:cstheme="majorHAnsi"/>
          <w:b/>
          <w:bCs/>
          <w:sz w:val="24"/>
          <w:szCs w:val="24"/>
        </w:rPr>
        <w:t>present</w:t>
      </w:r>
      <w:r w:rsidRPr="00CB0C93">
        <w:rPr>
          <w:rFonts w:asciiTheme="majorHAnsi" w:hAnsiTheme="majorHAnsi" w:cstheme="majorHAnsi"/>
          <w:sz w:val="24"/>
          <w:szCs w:val="24"/>
        </w:rPr>
        <w:t xml:space="preserve"> the extent to which </w:t>
      </w:r>
      <w:r w:rsidR="00C612E6">
        <w:rPr>
          <w:rFonts w:asciiTheme="majorHAnsi" w:hAnsiTheme="majorHAnsi" w:cstheme="majorHAnsi"/>
          <w:sz w:val="24"/>
          <w:szCs w:val="24"/>
        </w:rPr>
        <w:t>the third role of higher education</w:t>
      </w:r>
      <w:r w:rsidRPr="00CB0C93">
        <w:rPr>
          <w:rFonts w:asciiTheme="majorHAnsi" w:hAnsiTheme="majorHAnsi" w:cstheme="majorHAnsi"/>
          <w:sz w:val="24"/>
          <w:szCs w:val="24"/>
        </w:rPr>
        <w:t xml:space="preserve"> </w:t>
      </w:r>
      <w:r w:rsidR="00C612E6">
        <w:rPr>
          <w:rFonts w:asciiTheme="majorHAnsi" w:hAnsiTheme="majorHAnsi" w:cstheme="majorHAnsi"/>
          <w:sz w:val="24"/>
          <w:szCs w:val="24"/>
        </w:rPr>
        <w:t>is</w:t>
      </w:r>
      <w:r w:rsidRPr="00CB0C93">
        <w:rPr>
          <w:rFonts w:asciiTheme="majorHAnsi" w:hAnsiTheme="majorHAnsi" w:cstheme="majorHAnsi"/>
          <w:sz w:val="24"/>
          <w:szCs w:val="24"/>
        </w:rPr>
        <w:t xml:space="preserve"> explicitly or implicitly addressed by other bodies/mechanisms, and whether there is any link to QA;</w:t>
      </w:r>
    </w:p>
    <w:p w14:paraId="41243CF7" w14:textId="0817246B" w:rsidR="0049183A" w:rsidRPr="00CB0C93" w:rsidRDefault="0049183A" w:rsidP="00AE1A4D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CB0C93">
        <w:rPr>
          <w:rFonts w:asciiTheme="majorHAnsi" w:hAnsiTheme="majorHAnsi" w:cstheme="majorHAnsi"/>
          <w:b/>
          <w:bCs/>
          <w:sz w:val="24"/>
          <w:szCs w:val="24"/>
        </w:rPr>
        <w:t>present</w:t>
      </w:r>
      <w:r w:rsidRPr="00CB0C93">
        <w:rPr>
          <w:rFonts w:asciiTheme="majorHAnsi" w:hAnsiTheme="majorHAnsi" w:cstheme="majorHAnsi"/>
          <w:sz w:val="24"/>
          <w:szCs w:val="24"/>
        </w:rPr>
        <w:t xml:space="preserve"> best practices on supporting </w:t>
      </w:r>
      <w:r w:rsidR="00C612E6">
        <w:rPr>
          <w:rFonts w:asciiTheme="majorHAnsi" w:hAnsiTheme="majorHAnsi" w:cstheme="majorHAnsi"/>
          <w:sz w:val="24"/>
          <w:szCs w:val="24"/>
        </w:rPr>
        <w:t>the third role of higher education</w:t>
      </w:r>
      <w:r w:rsidR="00C612E6" w:rsidRPr="00CB0C93">
        <w:rPr>
          <w:rFonts w:asciiTheme="majorHAnsi" w:hAnsiTheme="majorHAnsi" w:cstheme="majorHAnsi"/>
          <w:sz w:val="24"/>
          <w:szCs w:val="24"/>
        </w:rPr>
        <w:t xml:space="preserve"> </w:t>
      </w:r>
      <w:r w:rsidRPr="00CB0C93">
        <w:rPr>
          <w:rFonts w:asciiTheme="majorHAnsi" w:hAnsiTheme="majorHAnsi" w:cstheme="majorHAnsi"/>
          <w:sz w:val="24"/>
          <w:szCs w:val="24"/>
        </w:rPr>
        <w:t>through QA</w:t>
      </w:r>
      <w:r w:rsidR="00C612E6">
        <w:rPr>
          <w:rFonts w:asciiTheme="majorHAnsi" w:hAnsiTheme="majorHAnsi" w:cstheme="majorHAnsi"/>
          <w:sz w:val="24"/>
          <w:szCs w:val="24"/>
        </w:rPr>
        <w:t>;</w:t>
      </w:r>
    </w:p>
    <w:p w14:paraId="6450119C" w14:textId="0A57CE13" w:rsidR="003B0319" w:rsidRPr="00CB0C93" w:rsidRDefault="0049183A" w:rsidP="00AE1A4D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CB0C93">
        <w:rPr>
          <w:rFonts w:asciiTheme="majorHAnsi" w:hAnsiTheme="majorHAnsi" w:cstheme="majorHAnsi"/>
          <w:b/>
          <w:bCs/>
          <w:sz w:val="24"/>
          <w:szCs w:val="24"/>
        </w:rPr>
        <w:t>discuss</w:t>
      </w:r>
      <w:r w:rsidRPr="00CB0C93">
        <w:rPr>
          <w:rFonts w:asciiTheme="majorHAnsi" w:hAnsiTheme="majorHAnsi" w:cstheme="majorHAnsi"/>
          <w:sz w:val="24"/>
          <w:szCs w:val="24"/>
        </w:rPr>
        <w:t xml:space="preserve"> possible scenarios for development. </w:t>
      </w:r>
    </w:p>
    <w:p w14:paraId="40C5ACFD" w14:textId="77777777" w:rsidR="0049183A" w:rsidRPr="00AE1A4D" w:rsidRDefault="0049183A" w:rsidP="00AE1A4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49183A" w:rsidRPr="00AE1A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B522" w14:textId="77777777" w:rsidR="0031391E" w:rsidRDefault="0031391E" w:rsidP="00AE1A4D">
      <w:pPr>
        <w:spacing w:after="0" w:line="240" w:lineRule="auto"/>
      </w:pPr>
      <w:r>
        <w:separator/>
      </w:r>
    </w:p>
  </w:endnote>
  <w:endnote w:type="continuationSeparator" w:id="0">
    <w:p w14:paraId="5B734F91" w14:textId="77777777" w:rsidR="0031391E" w:rsidRDefault="0031391E" w:rsidP="00A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4014" w14:textId="0121FE65" w:rsidR="00AE1A4D" w:rsidRDefault="00AE1A4D">
    <w:pPr>
      <w:pStyle w:val="Footer"/>
    </w:pPr>
    <w:r>
      <w:rPr>
        <w:noProof/>
        <w:lang w:val="ru-RU" w:eastAsia="ru-RU"/>
      </w:rPr>
      <w:drawing>
        <wp:inline distT="0" distB="0" distL="0" distR="0" wp14:anchorId="04943EDD" wp14:editId="463C5B82">
          <wp:extent cx="1533525" cy="286082"/>
          <wp:effectExtent l="0" t="0" r="0" b="0"/>
          <wp:docPr id="2" name="Picture 2" descr="A green letter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etter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11" cy="29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ru-RU" w:eastAsia="ru-RU"/>
      </w:rPr>
      <w:drawing>
        <wp:inline distT="0" distB="0" distL="0" distR="0" wp14:anchorId="60C79A1C" wp14:editId="64702053">
          <wp:extent cx="1780747" cy="391795"/>
          <wp:effectExtent l="0" t="0" r="0" b="8255"/>
          <wp:docPr id="1" name="Picture 1" descr="A close-up of blu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blu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747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F8B2" w14:textId="77777777" w:rsidR="0031391E" w:rsidRDefault="0031391E" w:rsidP="00AE1A4D">
      <w:pPr>
        <w:spacing w:after="0" w:line="240" w:lineRule="auto"/>
      </w:pPr>
      <w:r>
        <w:separator/>
      </w:r>
    </w:p>
  </w:footnote>
  <w:footnote w:type="continuationSeparator" w:id="0">
    <w:p w14:paraId="326A6404" w14:textId="77777777" w:rsidR="0031391E" w:rsidRDefault="0031391E" w:rsidP="00AE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F1BF" w14:textId="2261378C" w:rsidR="00AE1A4D" w:rsidRDefault="00AE1A4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DCDD34A" wp14:editId="25E6EB9B">
          <wp:simplePos x="0" y="0"/>
          <wp:positionH relativeFrom="column">
            <wp:posOffset>2125718</wp:posOffset>
          </wp:positionH>
          <wp:positionV relativeFrom="paragraph">
            <wp:posOffset>3922</wp:posOffset>
          </wp:positionV>
          <wp:extent cx="850265" cy="882015"/>
          <wp:effectExtent l="0" t="0" r="6985" b="0"/>
          <wp:wrapNone/>
          <wp:docPr id="5" name="Рисунок 5" descr="A picture containing emblem, crest, symbol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A picture containing emblem, crest, symbol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0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54F">
      <w:rPr>
        <w:rStyle w:val="CommentReference"/>
        <w:rFonts w:ascii="inherit" w:hAnsi="inherit"/>
        <w:noProof/>
        <w:color w:val="202124"/>
        <w:sz w:val="42"/>
        <w:szCs w:val="42"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052699" wp14:editId="62B51037">
              <wp:simplePos x="0" y="0"/>
              <wp:positionH relativeFrom="column">
                <wp:posOffset>3052334</wp:posOffset>
              </wp:positionH>
              <wp:positionV relativeFrom="paragraph">
                <wp:posOffset>211428</wp:posOffset>
              </wp:positionV>
              <wp:extent cx="2651125" cy="140462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8B71E" w14:textId="77777777" w:rsidR="00AE1A4D" w:rsidRPr="00547BA0" w:rsidRDefault="00AE1A4D" w:rsidP="00AE1A4D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547BA0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 xml:space="preserve">Ministry of Science and Higher Education </w:t>
                          </w:r>
                        </w:p>
                        <w:p w14:paraId="69F5DE73" w14:textId="77777777" w:rsidR="00AE1A4D" w:rsidRPr="00547BA0" w:rsidRDefault="00AE1A4D" w:rsidP="00AE1A4D">
                          <w:pPr>
                            <w:spacing w:after="0"/>
                            <w:jc w:val="center"/>
                            <w:rPr>
                              <w:color w:val="002060"/>
                            </w:rPr>
                          </w:pPr>
                          <w:r w:rsidRPr="00547BA0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of the Republic of Kazakhstan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05269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40.35pt;margin-top:16.65pt;width:20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" filled="f" stroked="f">
              <v:textbox style="mso-fit-shape-to-text:t">
                <w:txbxContent>
                  <w:p w14:paraId="59D8B71E" w14:textId="77777777" w:rsidR="00AE1A4D" w:rsidRPr="00547BA0" w:rsidRDefault="00AE1A4D" w:rsidP="00AE1A4D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547BA0">
                      <w:rPr>
                        <w:rFonts w:asciiTheme="majorHAnsi" w:hAnsiTheme="majorHAnsi" w:cstheme="majorHAnsi"/>
                        <w:color w:val="002060"/>
                      </w:rPr>
                      <w:t xml:space="preserve">Ministry of Science and Higher Education </w:t>
                    </w:r>
                  </w:p>
                  <w:p w14:paraId="69F5DE73" w14:textId="77777777" w:rsidR="00AE1A4D" w:rsidRPr="00547BA0" w:rsidRDefault="00AE1A4D" w:rsidP="00AE1A4D">
                    <w:pPr>
                      <w:spacing w:after="0"/>
                      <w:jc w:val="center"/>
                      <w:rPr>
                        <w:color w:val="002060"/>
                      </w:rPr>
                    </w:pPr>
                    <w:r w:rsidRPr="00547BA0">
                      <w:rPr>
                        <w:rFonts w:asciiTheme="majorHAnsi" w:hAnsiTheme="majorHAnsi" w:cstheme="majorHAnsi"/>
                        <w:color w:val="002060"/>
                      </w:rPr>
                      <w:t>of the Republic of Kazakhstan</w:t>
                    </w:r>
                  </w:p>
                </w:txbxContent>
              </v:textbox>
            </v:shape>
          </w:pict>
        </mc:Fallback>
      </mc:AlternateContent>
    </w:r>
    <w:r>
      <w:rPr>
        <w:rFonts w:ascii="inherit" w:hAnsi="inherit"/>
        <w:b/>
        <w:bCs/>
        <w:noProof/>
        <w:color w:val="202124"/>
        <w:sz w:val="42"/>
        <w:szCs w:val="42"/>
        <w:lang w:val="en"/>
      </w:rPr>
      <w:drawing>
        <wp:inline distT="0" distB="0" distL="0" distR="0" wp14:anchorId="388AD0DE" wp14:editId="4A2E0650">
          <wp:extent cx="1300398" cy="920750"/>
          <wp:effectExtent l="0" t="0" r="0" b="0"/>
          <wp:docPr id="92453969" name="Picture 1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53969" name="Picture 1" descr="A picture containing text, fon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362" cy="939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7436"/>
    <w:multiLevelType w:val="hybridMultilevel"/>
    <w:tmpl w:val="1B420B46"/>
    <w:lvl w:ilvl="0" w:tplc="3E42EB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6776"/>
    <w:multiLevelType w:val="hybridMultilevel"/>
    <w:tmpl w:val="EDE6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5EFD"/>
    <w:multiLevelType w:val="hybridMultilevel"/>
    <w:tmpl w:val="C6F0920C"/>
    <w:lvl w:ilvl="0" w:tplc="3E42EB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38E8"/>
    <w:multiLevelType w:val="hybridMultilevel"/>
    <w:tmpl w:val="B6BCDB4E"/>
    <w:lvl w:ilvl="0" w:tplc="3E42EB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TM1MrAwMTGxMDRW0lEKTi0uzszPAykwrgUAK03IhCwAAAA="/>
  </w:docVars>
  <w:rsids>
    <w:rsidRoot w:val="003B0319"/>
    <w:rsid w:val="00302C89"/>
    <w:rsid w:val="00307A54"/>
    <w:rsid w:val="0031391E"/>
    <w:rsid w:val="00325D19"/>
    <w:rsid w:val="0033739A"/>
    <w:rsid w:val="003729CE"/>
    <w:rsid w:val="003B0319"/>
    <w:rsid w:val="003D0973"/>
    <w:rsid w:val="004845BC"/>
    <w:rsid w:val="0049183A"/>
    <w:rsid w:val="005D6D39"/>
    <w:rsid w:val="007D6EC6"/>
    <w:rsid w:val="007F72C0"/>
    <w:rsid w:val="00837D2B"/>
    <w:rsid w:val="009F5D3A"/>
    <w:rsid w:val="00AE1A4D"/>
    <w:rsid w:val="00B37B65"/>
    <w:rsid w:val="00BB0584"/>
    <w:rsid w:val="00C612E6"/>
    <w:rsid w:val="00CB0C93"/>
    <w:rsid w:val="00E9311F"/>
    <w:rsid w:val="00F3439F"/>
    <w:rsid w:val="00F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6129"/>
  <w15:chartTrackingRefBased/>
  <w15:docId w15:val="{1E54049A-179A-47B2-8E8B-B60366E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4D"/>
  </w:style>
  <w:style w:type="paragraph" w:styleId="Footer">
    <w:name w:val="footer"/>
    <w:basedOn w:val="Normal"/>
    <w:link w:val="FooterChar"/>
    <w:uiPriority w:val="99"/>
    <w:unhideWhenUsed/>
    <w:rsid w:val="00A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4D"/>
  </w:style>
  <w:style w:type="character" w:styleId="CommentReference">
    <w:name w:val="annotation reference"/>
    <w:basedOn w:val="DefaultParagraphFont"/>
    <w:uiPriority w:val="99"/>
    <w:semiHidden/>
    <w:unhideWhenUsed/>
    <w:rsid w:val="00AE1A4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29CE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B3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zw-3_u4f_AhXqgv0HHUQ2A7MQFnoECAoQAQ&amp;url=https%3A%2F%2Fwww.enqa.eu%2Fprojects%2Fquality-assurance-fit-for-the-future-qa-fit%2F&amp;usg=AOvVaw2JF3Qt1QVidrH95mMnE1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FlpejuYf_AhW4iv0HHQgdAa0QFnoECBAQAQ&amp;url=https%3A%2F%2Fehea.info%2FUpload%2FRome_Ministerial_Communique_Annex_II.pdf&amp;usg=AOvVaw0wFYAghXsvdpTYYw_YvL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iRu6T5u4f_AhX6_7sIHYpLDnsQFnoECAgQAQ&amp;url=https%3A%2F%2Fwww.enqa.eu%2Fwp-content%2Fuploads%2F2015%2F11%2FESG_2015.pdf&amp;usg=AOvVaw1I2nXeAnQSI-qS6aMlVgY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618</Words>
  <Characters>3584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 Onita</dc:creator>
  <cp:keywords/>
  <dc:description/>
  <cp:lastModifiedBy>Daniela Cristina Ghitulica (24314)</cp:lastModifiedBy>
  <cp:revision>3</cp:revision>
  <dcterms:created xsi:type="dcterms:W3CDTF">2023-05-26T18:24:00Z</dcterms:created>
  <dcterms:modified xsi:type="dcterms:W3CDTF">2023-05-26T19:34:00Z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46c305aaf88fd25ea219c912ccfe191f7c74d2da781a3f2870f65cb9e42e3e75</vt:lpwstr>
  </property>
</Properties>
</file>